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160"/>
        <w:jc w:val="center"/>
        <w:rPr>
          <w:rFonts w:ascii="Times New Roman;serif" w:hAnsi="Times New Roman;serif"/>
          <w:b/>
          <w:color w:val="000000"/>
          <w:sz w:val="24"/>
        </w:rPr>
      </w:pPr>
      <w:r>
        <w:rPr>
          <w:rFonts w:ascii="Times New Roman;serif" w:hAnsi="Times New Roman;serif"/>
          <w:b/>
          <w:color w:val="000000"/>
          <w:sz w:val="24"/>
        </w:rPr>
        <w:t>Pursuant to Section 13 or 15(d) of the Securities Exchange Act of 1934</w:t>
      </w:r>
    </w:p>
    <w:p>
      <w:pPr>
        <w:pStyle w:val="TextBody"/>
        <w:bidi w:val="0"/>
        <w:spacing w:lineRule="auto" w:line="288" w:before="0" w:after="16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1, 2026</w:t>
      </w:r>
    </w:p>
    <w:p>
      <w:pPr>
        <w:pStyle w:val="TextBody"/>
        <w:bidi w:val="0"/>
        <w:spacing w:lineRule="auto" w:line="288" w:before="0" w:after="28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American Outdoor Brands, Inc.</w:t>
      </w:r>
    </w:p>
    <w:p>
      <w:pPr>
        <w:pStyle w:val="TextBody"/>
        <w:bidi w:val="0"/>
        <w:spacing w:lineRule="auto" w:line="288" w:before="0" w:after="140"/>
        <w:jc w:val="center"/>
        <w:rPr>
          <w:rFonts w:ascii="Times New Roman;serif" w:hAnsi="Times New Roman;serif"/>
          <w:b/>
          <w:color w:val="000000"/>
          <w:sz w:val="15"/>
        </w:rPr>
      </w:pPr>
      <w:r>
        <w:rPr>
          <w:rFonts w:ascii="Times New Roman;serif" w:hAnsi="Times New Roman;serif"/>
          <w:b/>
          <w:color w:val="000000"/>
          <w:sz w:val="15"/>
        </w:rPr>
        <w:t>(Exact name of Registrant as Specified in Its Charter)</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tbl>
      <w:tblPr>
        <w:tblW w:w="5865" w:type="dxa"/>
        <w:jc w:val="left"/>
        <w:tblInd w:w="0" w:type="dxa"/>
        <w:tblLayout w:type="fixed"/>
        <w:tblCellMar>
          <w:top w:w="28" w:type="dxa"/>
          <w:left w:w="28" w:type="dxa"/>
          <w:bottom w:w="28" w:type="dxa"/>
          <w:right w:w="28" w:type="dxa"/>
        </w:tblCellMar>
      </w:tblPr>
      <w:tblGrid>
        <w:gridCol w:w="970"/>
        <w:gridCol w:w="852"/>
        <w:gridCol w:w="863"/>
        <w:gridCol w:w="614"/>
        <w:gridCol w:w="614"/>
        <w:gridCol w:w="617"/>
        <w:gridCol w:w="390"/>
        <w:gridCol w:w="390"/>
        <w:gridCol w:w="555"/>
      </w:tblGrid>
      <w:tr>
        <w:trPr/>
        <w:tc>
          <w:tcPr>
            <w:tcW w:w="97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001-39366</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84-4630928</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(State or Other Jurisdiction</w:t>
              <w:br/>
              <w:t>of Incorporation)</w:t>
            </w:r>
          </w:p>
        </w:tc>
        <w:tc>
          <w:tcPr>
            <w:tcW w:w="18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(Commission File Number)</w:t>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(IRS Employer</w:t>
              <w:br/>
              <w:t>Identification No.)</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1800 North Route Z</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Columbia, Missouri</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65202</w:t>
            </w:r>
          </w:p>
        </w:tc>
      </w:tr>
      <w:tr>
        <w:trPr/>
        <w:tc>
          <w:tcPr>
            <w:tcW w:w="26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(Address of Principal Executive Offices)</w:t>
            </w:r>
          </w:p>
        </w:tc>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5"/>
              </w:rPr>
            </w:pPr>
            <w:r>
              <w:rPr>
                <w:rFonts w:ascii="Times New Roman;serif" w:hAnsi="Times New Roman;serif"/>
                <w:b/>
                <w:color w:val="000000"/>
                <w:sz w:val="15"/>
              </w:rPr>
              <w:t>(Zip Code)</w:t>
            </w:r>
          </w:p>
        </w:tc>
      </w:tr>
    </w:tbl>
    <w:p>
      <w:pPr>
        <w:pStyle w:val="TextBody"/>
        <w:bidi w:val="0"/>
        <w:spacing w:lineRule="auto" w:line="288" w:before="0" w:after="22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(800) 338-9585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100"/>
        <w:jc w:val="center"/>
        <w:rPr>
          <w:rFonts w:ascii="Times New Roman;serif" w:hAnsi="Times New Roman;serif"/>
          <w:b/>
          <w:color w:val="000000"/>
          <w:sz w:val="15"/>
        </w:rPr>
      </w:pPr>
      <w:r>
        <w:rPr>
          <w:rFonts w:ascii="Times New Roman;serif" w:hAnsi="Times New Roman;serif"/>
          <w:b/>
          <w:color w:val="000000"/>
          <w:sz w:val="15"/>
        </w:rPr>
        <w:t>(Former Name or Former Address, if Changed Since Last Report)</w:t>
      </w:r>
    </w:p>
    <w:p>
      <w:pPr>
        <w:pStyle w:val="TextBody"/>
        <w:bidi w:val="0"/>
        <w:spacing w:lineRule="auto" w:line="288" w:before="0" w:after="16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________________________________________________________</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20"/>
              </w:rPr>
            </w:pPr>
            <w:r>
              <w:rPr>
                <w:rFonts w:ascii="Wingdings;sans-serif" w:hAnsi="Wingdings;sans-serif"/>
                <w:b w:val="false"/>
                <w:color w:val="000000"/>
                <w:sz w:val="20"/>
              </w:rPr>
              <w:t>o</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9082" w:type="dxa"/>
        <w:jc w:val="left"/>
        <w:tblInd w:w="0" w:type="dxa"/>
        <w:tblLayout w:type="fixed"/>
        <w:tblCellMar>
          <w:top w:w="28" w:type="dxa"/>
          <w:left w:w="28" w:type="dxa"/>
          <w:bottom w:w="28" w:type="dxa"/>
          <w:right w:w="28" w:type="dxa"/>
        </w:tblCellMar>
      </w:tblPr>
      <w:tblGrid>
        <w:gridCol w:w="1322"/>
        <w:gridCol w:w="1162"/>
        <w:gridCol w:w="1175"/>
        <w:gridCol w:w="109"/>
        <w:gridCol w:w="109"/>
        <w:gridCol w:w="109"/>
        <w:gridCol w:w="314"/>
        <w:gridCol w:w="314"/>
        <w:gridCol w:w="316"/>
        <w:gridCol w:w="109"/>
        <w:gridCol w:w="109"/>
        <w:gridCol w:w="109"/>
        <w:gridCol w:w="1118"/>
        <w:gridCol w:w="1118"/>
        <w:gridCol w:w="1589"/>
      </w:tblGrid>
      <w:tr>
        <w:trPr/>
        <w:tc>
          <w:tcPr>
            <w:tcW w:w="132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36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AOUT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14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lineRule="auto" w:line="288" w:before="0" w:after="140"/>
        <w:jc w:val="left"/>
        <w:rPr>
          <w:rFonts w:ascii="Times New Roman;serif" w:hAnsi="Times New Roman;serif"/>
          <w:b w:val="false"/>
          <w:color w:val="000000"/>
          <w:sz w:val="20"/>
        </w:rPr>
      </w:pPr>
      <w:r>
        <w:rPr>
          <w:rFonts w:ascii="Times New Roman;serif" w:hAnsi="Times New Roman;serif"/>
          <w:b w:val="false"/>
          <w:color w:val="000000"/>
          <w:sz w:val="20"/>
        </w:rPr>
        <w:t>Emerging growth company ☐</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8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8.01 Other Events. </w:t>
      </w:r>
    </w:p>
    <w:p>
      <w:pPr>
        <w:pStyle w:val="TextBody"/>
        <w:bidi w:val="0"/>
        <w:spacing w:lineRule="auto" w:line="288" w:before="0" w:after="24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October 1, 2026, we announced that our Board of Directors has approved a program to repurchase up to $10.0 million of our outstanding shares of common stock commencing on October 1, 2026 and ending on September 30, 2027. The amount and timing of any repurchases will depend on a number of factors, including price, trading volume, general market conditions, legal requirements, and other factors. The repurchases may be made on the open market, in block trades, or in privately negotiated transactions. Any shares of common stock repurchased under the program will be considered issued but not outstanding shares of our common stock. A copy of the press release is attached hereto as Exhibit 99.1 and is incorporated herein by reference to this Item 8.01.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before="0" w:after="8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80"/>
        <w:ind w:left="0" w:right="0" w:hanging="2250"/>
        <w:jc w:val="left"/>
        <w:rPr/>
      </w:pPr>
      <w:r>
        <w:rPr>
          <w:rFonts w:ascii="Times New Roman;serif" w:hAnsi="Times New Roman;serif"/>
          <w:b w:val="false"/>
          <w:color w:val="000000"/>
          <w:sz w:val="20"/>
        </w:rPr>
        <w:t>(d)</w:t>
      </w:r>
      <w:r>
        <w:rPr>
          <w:rFonts w:ascii="Times New Roman;serif" w:hAnsi="Times New Roman;serif"/>
          <w:b w:val="false"/>
          <w:i/>
          <w:color w:val="000000"/>
          <w:sz w:val="20"/>
        </w:rPr>
        <w:t>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677"/>
        <w:gridCol w:w="2677"/>
        <w:gridCol w:w="3818"/>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2677" w:type="dxa"/>
            <w:tcBorders/>
            <w:vAlign w:val="center"/>
          </w:tcPr>
          <w:p>
            <w:pPr>
              <w:pStyle w:val="TableContents"/>
              <w:bidi w:val="0"/>
              <w:spacing w:before="0" w:after="283"/>
              <w:jc w:val="left"/>
              <w:rPr>
                <w:sz w:val="4"/>
                <w:szCs w:val="4"/>
              </w:rPr>
            </w:pPr>
            <w:r>
              <w:rPr>
                <w:sz w:val="4"/>
                <w:szCs w:val="4"/>
              </w:rPr>
            </w:r>
          </w:p>
        </w:tc>
        <w:tc>
          <w:tcPr>
            <w:tcW w:w="3818"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00"/>
              <w:jc w:val="left"/>
              <w:rPr>
                <w:rFonts w:ascii="Times New Roman;serif" w:hAnsi="Times New Roman;serif"/>
                <w:b w:val="false"/>
                <w:color w:val="000000"/>
                <w:sz w:val="18"/>
              </w:rPr>
            </w:pPr>
            <w:r>
              <w:rPr>
                <w:rFonts w:ascii="Times New Roman;serif" w:hAnsi="Times New Roman;serif"/>
                <w:b w:val="false"/>
                <w:color w:val="000000"/>
                <w:sz w:val="18"/>
              </w:rPr>
              <w:t>Exhibit</w:t>
            </w:r>
          </w:p>
          <w:p>
            <w:pPr>
              <w:pStyle w:val="TableContents"/>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hyperlink w:anchor="oct2026buybackprclean.htm">
              <w:r>
                <w:rPr>
                  <w:rStyle w:val="InternetLink"/>
                  <w:rFonts w:ascii="Times New Roman;serif" w:hAnsi="Times New Roman;serif"/>
                  <w:b w:val="false"/>
                  <w:color w:val="000080"/>
                  <w:sz w:val="20"/>
                  <w:u w:val="single"/>
                </w:rPr>
                <w:t xml:space="preserve">Press release from the Registrant, dated </w:t>
              </w:r>
            </w:hyperlink>
            <w:hyperlink w:anchor="oct2026buybackprclean.htm">
              <w:r>
                <w:rPr>
                  <w:rStyle w:val="InternetLink"/>
                  <w:rFonts w:ascii="Times New Roman;serif" w:hAnsi="Times New Roman;serif"/>
                  <w:b w:val="false"/>
                  <w:color w:val="000080"/>
                  <w:sz w:val="20"/>
                  <w:u w:val="single"/>
                </w:rPr>
                <w:t>October 1</w:t>
              </w:r>
            </w:hyperlink>
            <w:hyperlink w:anchor="oct2026buybackprclean.htm">
              <w:r>
                <w:rPr>
                  <w:rStyle w:val="InternetLink"/>
                  <w:rFonts w:ascii="Times New Roman;serif" w:hAnsi="Times New Roman;serif"/>
                  <w:b w:val="false"/>
                  <w:color w:val="000080"/>
                  <w:sz w:val="20"/>
                  <w:u w:val="single"/>
                </w:rPr>
                <w:t>, 2026, entitled “American Outdoor Brands A</w:t>
              </w:r>
            </w:hyperlink>
            <w:hyperlink w:anchor="oct2026buybackprclean.htm">
              <w:r>
                <w:rPr>
                  <w:rStyle w:val="InternetLink"/>
                  <w:rFonts w:ascii="Times New Roman;serif" w:hAnsi="Times New Roman;serif"/>
                  <w:b w:val="false"/>
                  <w:color w:val="000080"/>
                  <w:sz w:val="20"/>
                  <w:u w:val="single"/>
                </w:rPr>
                <w:t>pproves $10 Million Share Repurchase Program</w:t>
              </w:r>
            </w:hyperlink>
            <w:hyperlink w:anchor="oct2026buybackprclean.htm">
              <w:r>
                <w:rPr>
                  <w:rStyle w:val="InternetLink"/>
                  <w:rFonts w:ascii="Times New Roman;serif" w:hAnsi="Times New Roman;serif"/>
                  <w:b w:val="false"/>
                  <w:color w:val="000080"/>
                  <w:sz w:val="20"/>
                  <w:u w:val="single"/>
                </w:rPr>
                <w:t>”</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24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8713" w:type="dxa"/>
        <w:jc w:val="left"/>
        <w:tblInd w:w="0" w:type="dxa"/>
        <w:tblLayout w:type="fixed"/>
        <w:tblCellMar>
          <w:top w:w="28" w:type="dxa"/>
          <w:left w:w="28" w:type="dxa"/>
          <w:bottom w:w="28" w:type="dxa"/>
          <w:right w:w="28" w:type="dxa"/>
        </w:tblCellMar>
      </w:tblPr>
      <w:tblGrid>
        <w:gridCol w:w="200"/>
        <w:gridCol w:w="177"/>
        <w:gridCol w:w="178"/>
        <w:gridCol w:w="469"/>
        <w:gridCol w:w="469"/>
        <w:gridCol w:w="471"/>
        <w:gridCol w:w="149"/>
        <w:gridCol w:w="149"/>
        <w:gridCol w:w="151"/>
        <w:gridCol w:w="1843"/>
        <w:gridCol w:w="1843"/>
        <w:gridCol w:w="261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261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AMERICAN OUTDOOR BRANDS,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October 1, 2026</w:t>
            </w:r>
          </w:p>
        </w:tc>
        <w:tc>
          <w:tcPr>
            <w:tcW w:w="44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By: </w:t>
            </w:r>
          </w:p>
        </w:tc>
        <w:tc>
          <w:tcPr>
            <w:tcW w:w="630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/s/ H. Andrew Fulmer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H. Andrew Fulmer</w:t>
              <w:br/>
            </w:r>
            <w:r>
              <w:rPr>
                <w:rFonts w:ascii="Times New Roman;serif" w:hAnsi="Times New Roman;serif"/>
                <w:b w:val="false"/>
                <w:i/>
                <w:color w:val="000000"/>
                <w:sz w:val="20"/>
              </w:rPr>
              <w:t>Executive Vice President, Chief Financial Officer, Treasurer,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tbl>
      <w:tblPr>
        <w:tblW w:w="8471" w:type="dxa"/>
        <w:jc w:val="left"/>
        <w:tblInd w:w="0" w:type="dxa"/>
        <w:tblLayout w:type="fixed"/>
        <w:tblCellMar>
          <w:top w:w="28" w:type="dxa"/>
          <w:left w:w="28" w:type="dxa"/>
          <w:bottom w:w="28" w:type="dxa"/>
          <w:right w:w="28" w:type="dxa"/>
        </w:tblCellMar>
      </w:tblPr>
      <w:tblGrid>
        <w:gridCol w:w="2141"/>
        <w:gridCol w:w="1882"/>
        <w:gridCol w:w="1883"/>
        <w:gridCol w:w="750"/>
        <w:gridCol w:w="750"/>
        <w:gridCol w:w="1065"/>
      </w:tblGrid>
      <w:tr>
        <w:trPr/>
        <w:tc>
          <w:tcPr>
            <w:tcW w:w="2141"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r>
      <w:tr>
        <w:trPr/>
        <w:tc>
          <w:tcPr>
            <w:tcW w:w="5906" w:type="dxa"/>
            <w:gridSpan w:val="3"/>
            <w:vMerge w:val="restart"/>
            <w:tcBorders/>
            <w:tcMar>
              <w:top w:w="0" w:type="dxa"/>
              <w:left w:w="0" w:type="dxa"/>
              <w:bottom w:w="0" w:type="dxa"/>
              <w:right w:w="0" w:type="dxa"/>
            </w:tcMar>
            <w:vAlign w:val="center"/>
          </w:tcPr>
          <w:p>
            <w:pPr>
              <w:pStyle w:val="TableContents"/>
              <w:bidi w:val="0"/>
              <w:spacing w:before="0" w:after="0"/>
              <w:jc w:val="right"/>
              <w:rPr/>
            </w:pPr>
            <w:r>
              <w:rPr/>
              <w:drawing>
                <wp:inline distT="0" distB="0" distL="0" distR="0">
                  <wp:extent cx="3686175" cy="561975"/>
                  <wp:effectExtent l="0" t="0" r="0" b="0"/>
                  <wp:docPr id="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1" descr=""/>
                          <pic:cNvPicPr>
                            <a:picLocks noChangeAspect="1" noChangeArrowheads="1"/>
                          </pic:cNvPicPr>
                        </pic:nvPicPr>
                        <pic:blipFill>
                          <a:blip r:embed="rId2"/>
                          <a:stretch>
                            <a:fillRect/>
                          </a:stretch>
                        </pic:blipFill>
                        <pic:spPr bwMode="auto">
                          <a:xfrm>
                            <a:off x="0" y="0"/>
                            <a:ext cx="3686175" cy="561975"/>
                          </a:xfrm>
                          <a:prstGeom prst="rect">
                            <a:avLst/>
                          </a:prstGeom>
                        </pic:spPr>
                      </pic:pic>
                    </a:graphicData>
                  </a:graphic>
                </wp:inline>
              </w:drawing>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color w:val="000000"/>
                <w:sz w:val="22"/>
              </w:rPr>
            </w:pPr>
            <w:r>
              <w:rPr>
                <w:rFonts w:ascii="sans-serif" w:hAnsi="sans-serif"/>
                <w:b/>
                <w:color w:val="000000"/>
                <w:sz w:val="22"/>
              </w:rPr>
              <w:t>Exhibit 99.1</w:t>
            </w:r>
          </w:p>
        </w:tc>
      </w:tr>
      <w:tr>
        <w:trPr/>
        <w:tc>
          <w:tcPr>
            <w:tcW w:w="5906"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1800 N Route Z</w:t>
            </w:r>
          </w:p>
        </w:tc>
      </w:tr>
      <w:tr>
        <w:trPr/>
        <w:tc>
          <w:tcPr>
            <w:tcW w:w="5906"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Columbia, MO 65202</w:t>
            </w:r>
          </w:p>
        </w:tc>
      </w:tr>
      <w:tr>
        <w:trPr/>
        <w:tc>
          <w:tcPr>
            <w:tcW w:w="5906"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(800) 338-9585</w:t>
            </w:r>
          </w:p>
        </w:tc>
      </w:tr>
      <w:tr>
        <w:trPr/>
        <w:tc>
          <w:tcPr>
            <w:tcW w:w="5906" w:type="dxa"/>
            <w:gridSpan w:val="3"/>
            <w:vMerge w:val="continue"/>
            <w:tcBorders/>
            <w:tcMar>
              <w:top w:w="0" w:type="dxa"/>
              <w:left w:w="0" w:type="dxa"/>
              <w:bottom w:w="0" w:type="dxa"/>
              <w:right w:w="0" w:type="dxa"/>
            </w:tcMar>
            <w:vAlign w:val="center"/>
          </w:tcPr>
          <w:p>
            <w:pPr>
              <w:pStyle w:val="Normal"/>
              <w:bidi w:val="0"/>
              <w:jc w:val="left"/>
              <w:rPr/>
            </w:pPr>
            <w:r>
              <w:rPr/>
            </w:r>
          </w:p>
        </w:tc>
        <w:tc>
          <w:tcPr>
            <w:tcW w:w="256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2"/>
              </w:rPr>
            </w:pPr>
            <w:r>
              <w:rPr>
                <w:rFonts w:ascii="sans-serif" w:hAnsi="sans-serif"/>
                <w:b w:val="false"/>
                <w:color w:val="000000"/>
                <w:sz w:val="22"/>
              </w:rPr>
              <w:t>NASDAQ: AOUT</w:t>
            </w:r>
          </w:p>
        </w:tc>
      </w:tr>
    </w:tbl>
    <w:p>
      <w:pPr>
        <w:pStyle w:val="TextBody"/>
        <w:bidi w:val="0"/>
        <w:spacing w:before="0" w:after="0"/>
        <w:jc w:val="left"/>
        <w:rPr/>
      </w:pPr>
      <w:r>
        <w:rPr/>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Contact: Liz Sharp, VP, Investor Relations</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lsharp@aob.com</w:t>
      </w:r>
    </w:p>
    <w:p>
      <w:pPr>
        <w:pStyle w:val="TextBody"/>
        <w:bidi w:val="0"/>
        <w:spacing w:lineRule="auto" w:line="288" w:before="0" w:after="0"/>
        <w:jc w:val="left"/>
        <w:rPr>
          <w:rFonts w:ascii="sans-serif" w:hAnsi="sans-serif"/>
          <w:b w:val="false"/>
          <w:color w:val="000000"/>
          <w:sz w:val="22"/>
        </w:rPr>
      </w:pPr>
      <w:r>
        <w:rPr>
          <w:rFonts w:ascii="sans-serif" w:hAnsi="sans-serif"/>
          <w:b w:val="false"/>
          <w:color w:val="000000"/>
          <w:sz w:val="22"/>
        </w:rPr>
        <w:t>(573) 303-4620</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American Outdoor Brands Board of Directors</w:t>
      </w:r>
    </w:p>
    <w:p>
      <w:pPr>
        <w:pStyle w:val="TextBody"/>
        <w:bidi w:val="0"/>
        <w:spacing w:lineRule="auto" w:line="288" w:before="0" w:after="0"/>
        <w:jc w:val="center"/>
        <w:rPr>
          <w:rFonts w:ascii="sans-serif" w:hAnsi="sans-serif"/>
          <w:b/>
          <w:color w:val="000000"/>
          <w:sz w:val="36"/>
        </w:rPr>
      </w:pPr>
      <w:r>
        <w:rPr>
          <w:rFonts w:ascii="sans-serif" w:hAnsi="sans-serif"/>
          <w:b/>
          <w:color w:val="000000"/>
          <w:sz w:val="36"/>
        </w:rPr>
        <w:t>Approves $10 Million Share Repurchase Program</w:t>
      </w:r>
    </w:p>
    <w:p>
      <w:pPr>
        <w:pStyle w:val="TextBody"/>
        <w:bidi w:val="0"/>
        <w:spacing w:before="0" w:after="0"/>
        <w:ind w:left="0" w:right="0" w:firstLine="50"/>
        <w:jc w:val="center"/>
        <w:rPr/>
      </w:pPr>
      <w:r>
        <w:rPr/>
      </w:r>
    </w:p>
    <w:p>
      <w:pPr>
        <w:pStyle w:val="TextBody"/>
        <w:bidi w:val="0"/>
        <w:spacing w:lineRule="auto" w:line="288" w:before="0" w:after="0"/>
        <w:jc w:val="both"/>
        <w:rPr/>
      </w:pPr>
      <w:r>
        <w:rPr>
          <w:rFonts w:ascii="sans-serif" w:hAnsi="sans-serif"/>
          <w:b/>
          <w:color w:val="000000"/>
          <w:sz w:val="22"/>
        </w:rPr>
        <w:t>COLUMBIA, Mo., October 1, 2026 – American Outdoor Brands, Inc. (NASDAQ Global Select: AOUT)</w:t>
      </w:r>
      <w:r>
        <w:rPr>
          <w:rFonts w:ascii="sans-serif" w:hAnsi="sans-serif"/>
          <w:b w:val="false"/>
          <w:color w:val="000000"/>
          <w:sz w:val="22"/>
        </w:rPr>
        <w:t>, an innovation company that provides product solutions for outdoor enthusiasts, today announced that its Board of Directors has approved the repurchase of up to $</w:t>
      </w:r>
      <w:r>
        <w:rPr>
          <w:rFonts w:ascii="sans-serif" w:hAnsi="sans-serif"/>
          <w:b w:val="false"/>
          <w:color w:val="000000"/>
          <w:sz w:val="22"/>
          <w:shd w:fill="FFFFFF" w:val="clear"/>
        </w:rPr>
        <w:t>10</w:t>
      </w:r>
      <w:r>
        <w:rPr>
          <w:color w:val="000000"/>
        </w:rPr>
        <w:t xml:space="preserve"> </w:t>
      </w:r>
      <w:r>
        <w:rPr>
          <w:rFonts w:ascii="sans-serif" w:hAnsi="sans-serif"/>
          <w:b w:val="false"/>
          <w:color w:val="000000"/>
          <w:sz w:val="22"/>
        </w:rPr>
        <w:t>million of the Company’s outstanding common stock (“shares”) commencing on October 1, 2026, and ending on September 30, 2027.</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The program follows the Company’s prior share repurchase program, which authorized the Company to repurchase up to $10.0 million of its common stock, was initiated in 2025 and, as of September 30, 2026, resulted in 236,907 shares, repurchased at an average price of $8.15 per share, or roughly $1.9 million in the aggregate. </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President and Chief Executive Officer, Brian Murphy, said, “Today’s announcement reflects the board’s continued confidence in our strategy and long-term opportunities. Our strong, debt-free balance sheet gives us flexibility to invest in innovation and organic growth, pursue selective, accretive acquisitions, and return capital to stockholders through opportunistic share repurchases. We will continue to balance these priorities with a disciplined focus on creating long-term stockholder value.”</w:t>
      </w:r>
    </w:p>
    <w:p>
      <w:pPr>
        <w:pStyle w:val="TextBody"/>
        <w:bidi w:val="0"/>
        <w:spacing w:before="0" w:after="0"/>
        <w:jc w:val="both"/>
        <w:rPr/>
      </w:pPr>
      <w:r>
        <w:rPr/>
      </w:r>
    </w:p>
    <w:p>
      <w:pPr>
        <w:pStyle w:val="TextBody"/>
        <w:bidi w:val="0"/>
        <w:spacing w:lineRule="auto" w:line="288" w:before="0" w:after="0"/>
        <w:jc w:val="both"/>
        <w:rPr>
          <w:rFonts w:ascii="sans-serif" w:hAnsi="sans-serif"/>
          <w:b w:val="false"/>
          <w:color w:val="000000"/>
          <w:sz w:val="22"/>
        </w:rPr>
      </w:pPr>
      <w:r>
        <w:rPr>
          <w:rFonts w:ascii="sans-serif" w:hAnsi="sans-serif"/>
          <w:b w:val="false"/>
          <w:color w:val="000000"/>
          <w:sz w:val="22"/>
        </w:rPr>
        <w:t xml:space="preserve">The shares may be repurchased from time to time on the open market, in block trades, or in privately negotiated transactions. The amount and timing of any shares repurchased under the program will be determined at the discretion of management and will depend on a number of factors, including the market price of the Company’s stock, trading volume, general market and economic conditions, the Company’s capital position, legal requirements, and other factors. The repurchase program does not obligate the Company to acquire any particular number of shares, and the repurchase program may be discontinued at any time at the Company’s discretion. </w:t>
      </w:r>
    </w:p>
    <w:p>
      <w:pPr>
        <w:pStyle w:val="TextBody"/>
        <w:bidi w:val="0"/>
        <w:spacing w:before="0" w:after="0"/>
        <w:jc w:val="both"/>
        <w:rPr/>
      </w:pPr>
      <w:r>
        <w:rPr/>
      </w:r>
    </w:p>
    <w:p>
      <w:pPr>
        <w:pStyle w:val="TextBody"/>
        <w:bidi w:val="0"/>
        <w:spacing w:lineRule="auto" w:line="288" w:before="0" w:after="0"/>
        <w:jc w:val="both"/>
        <w:rPr>
          <w:rFonts w:ascii="sans-serif" w:hAnsi="sans-serif"/>
          <w:b/>
          <w:color w:val="000000"/>
          <w:sz w:val="16"/>
          <w:u w:val="single"/>
        </w:rPr>
      </w:pPr>
      <w:r>
        <w:rPr>
          <w:rFonts w:ascii="sans-serif" w:hAnsi="sans-serif"/>
          <w:b/>
          <w:color w:val="000000"/>
          <w:sz w:val="16"/>
          <w:u w:val="single"/>
        </w:rPr>
        <w:t>Statement Regarding Forward-Looking Information</w:t>
      </w:r>
    </w:p>
    <w:p>
      <w:pPr>
        <w:pStyle w:val="TextBody"/>
        <w:bidi w:val="0"/>
        <w:spacing w:lineRule="auto" w:line="288" w:before="0" w:after="0"/>
        <w:jc w:val="both"/>
        <w:rPr>
          <w:rFonts w:ascii="sans-serif" w:hAnsi="sans-serif"/>
          <w:b w:val="false"/>
          <w:color w:val="000000"/>
          <w:sz w:val="16"/>
        </w:rPr>
      </w:pPr>
      <w:r>
        <w:rPr>
          <w:rFonts w:ascii="sans-serif" w:hAnsi="sans-serif"/>
          <w:b w:val="false"/>
          <w:color w:val="000000"/>
          <w:sz w:val="16"/>
        </w:rPr>
        <w:t>The statements contained in this release that are not historical are forward-looking statements within the meaning of the U.S. federal securities laws and we intend that such forward-looking statements be subject to the safe harbor created thereby. Statements that are not historical facts, including statements about anticipated financial outcomes, and share repurchases, as well as other statements about our expectations, beliefs, intentions, or strategies regarding the future, or other characterizations of future events or circumstances, are forward-looking statements. These statements relate to future events and our future results and involve a number of risks and uncertainties. Actual results, performance, or achievement could differ materially from those contained in these forward-looking statements. Specific forward-looking statements in this press release include our board’s continued confidence in our strategy and long-term opportunities; our belief that our strong, debt-free balance sheet gives us flexibility to invest in innovation and organic growth, pursue selective, accretive acquisitions, and return capital to stockholders through opportunistic share repurchases; and that we will continue to balance these priorities with a disciplined focus on creating long-term stockholder value. Forward-looking statements are based on our beliefs as well as assumptions made by, and information currently available to us. The risks and uncertainties to which forward-looking statements are subject include, without limitation, changes in price and volume and the volatility of our common stock, unexpected or otherwise unplanned or alternative requirements with respect to the capital investments of the Company, changes in general economic, business and political conditions, and other risks detailed in the “Statement Regarding Forward-Looking Information,” “Risk Factors” and other sections of the Company’s Annual Report on Form 10-K and other filings with the Securities and Exchange Commission. Except as required by applicable law or regulation, we disclaim any obligation and do not intend to publicly update or review any of our forward-looking statements, whether as a result of new information, future events or otherwise.</w:t>
      </w:r>
    </w:p>
    <w:p>
      <w:pPr>
        <w:pStyle w:val="TextBody"/>
        <w:bidi w:val="0"/>
        <w:spacing w:lineRule="auto" w:line="288" w:before="0" w:after="0"/>
        <w:jc w:val="both"/>
        <w:rPr>
          <w:rFonts w:ascii="sans-serif" w:hAnsi="sans-serif"/>
          <w:b/>
          <w:color w:val="000000"/>
          <w:sz w:val="16"/>
        </w:rPr>
      </w:pPr>
      <w:r>
        <w:rPr>
          <w:rFonts w:ascii="sans-serif" w:hAnsi="sans-serif"/>
          <w:b/>
          <w:color w:val="000000"/>
          <w:sz w:val="16"/>
        </w:rPr>
        <w:t>About American Outdoor Brands, Inc.</w:t>
      </w:r>
    </w:p>
    <w:p>
      <w:pPr>
        <w:pStyle w:val="TextBody"/>
        <w:bidi w:val="0"/>
        <w:spacing w:lineRule="auto" w:line="288"/>
        <w:jc w:val="both"/>
        <w:rPr>
          <w:rFonts w:ascii="sans-serif" w:hAnsi="sans-serif"/>
          <w:b w:val="false"/>
          <w:color w:val="000000"/>
          <w:sz w:val="16"/>
        </w:rPr>
      </w:pPr>
      <w:r>
        <w:rPr>
          <w:rFonts w:ascii="sans-serif" w:hAnsi="sans-serif"/>
          <w:b w:val="false"/>
          <w:color w:val="000000"/>
          <w:sz w:val="16"/>
        </w:rPr>
        <w:t>American Outdoor Brands, Inc. (NASDAQ Global Select: AOUT) is an innovation company that provides product solutions for outdoor enthusiasts, including hunting, fishing, camping, shooting, meat processing, outdoor cooking, and personal security and personal defense products. The Company produces innovative, high-quality products under brands including BOG®; BUBBA®; Caldwell®; Crimson Trace®; Frankford Arsenal®; Grilla®; Hooyman®; Imperial®; LaserLyte®; Lockdown®; MEAT! Your Maker®; Old Timer®; Schrade®; Tipton®; Uncle Henry®; and Wheeler®. For more information about all the brands and products from American Outdoor Brands, Inc., visit aob.com.</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1255</Words>
  <Characters>7556</Characters>
  <CharactersWithSpaces>8734</CharactersWithSpaces>
  <Paragraphs>85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