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28, 2026</w:t>
      </w:r>
    </w:p>
    <w:p>
      <w:pPr>
        <w:pStyle w:val="TextBody"/>
        <w:bidi w:val="0"/>
        <w:spacing w:lineRule="auto" w:line="288" w:before="0" w:after="2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American Outdoor Brands, Inc.</w:t>
      </w:r>
    </w:p>
    <w:p>
      <w:pPr>
        <w:pStyle w:val="TextBody"/>
        <w:bidi w:val="0"/>
        <w:spacing w:lineRule="auto" w:line="288" w:before="0" w:after="14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001-39366</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84-4630928</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1800 North Route Z</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Columbia, Missouri</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65202</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(800) 338-9585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0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82" w:type="dxa"/>
        <w:jc w:val="left"/>
        <w:tblInd w:w="0" w:type="dxa"/>
        <w:tblLayout w:type="fixed"/>
        <w:tblCellMar>
          <w:top w:w="28" w:type="dxa"/>
          <w:left w:w="28" w:type="dxa"/>
          <w:bottom w:w="28" w:type="dxa"/>
          <w:right w:w="28" w:type="dxa"/>
        </w:tblCellMar>
      </w:tblPr>
      <w:tblGrid>
        <w:gridCol w:w="1322"/>
        <w:gridCol w:w="1162"/>
        <w:gridCol w:w="1175"/>
        <w:gridCol w:w="109"/>
        <w:gridCol w:w="109"/>
        <w:gridCol w:w="109"/>
        <w:gridCol w:w="314"/>
        <w:gridCol w:w="314"/>
        <w:gridCol w:w="316"/>
        <w:gridCol w:w="109"/>
        <w:gridCol w:w="109"/>
        <w:gridCol w:w="109"/>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80"/>
        <w:jc w:val="left"/>
        <w:rPr>
          <w:rFonts w:ascii="Times New Roman;serif" w:hAnsi="Times New Roman;serif"/>
          <w:b/>
          <w:color w:val="000000"/>
          <w:sz w:val="20"/>
        </w:rPr>
      </w:pPr>
      <w:r>
        <w:rPr>
          <w:rFonts w:ascii="Times New Roman;serif" w:hAnsi="Times New Roman;serif"/>
          <w:b/>
          <w:color w:val="000000"/>
          <w:sz w:val="20"/>
        </w:rPr>
        <w:t xml:space="preserve">Item 5.07 Submission of Matters to a Vote of Security Holders. </w:t>
      </w:r>
    </w:p>
    <w:p>
      <w:pPr>
        <w:pStyle w:val="TextBody"/>
        <w:bidi w:val="0"/>
        <w:spacing w:before="0" w:after="240"/>
        <w:jc w:val="left"/>
        <w:rPr/>
      </w:pPr>
      <w:r>
        <w:rPr/>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28, 2026, we held our 2026 Annual Meeting of Stockholders, or the Annual Meeting, to consider and vote upon the following proposals: (1) to elect Barry M. Monheit, Bradley T. Favreau, Mary E. Gallagher, Gregory J. Gluchowski, Jr., Kevin D. Leary, Luis G. Marconi, and Brian D. Murphy to serve until their successors are elected and qualified at the 2027 Annual Meeting of Stockholders, subject to their earlier death, resignation, disqualification or removal; (2) to ratify the appointment of Grant Thornton LLP, an independent registered public accounting firm, as our independent registered public accountant for the fiscal year ending April 30, 2027; (3) to approve, on a non-binding advisory basis, the compensation paid to the Company’s named executive officers for fiscal year 2026, as disclosed in the proxy statement (a "say-on-pay" vote); and (4) to approve, on a non-binding advisory basis, the frequency of ONE YEAR for future say-on-pay votes (a "say-on-frequency" vote).</w:t>
      </w:r>
    </w:p>
    <w:p>
      <w:pPr>
        <w:pStyle w:val="TextBody"/>
        <w:bidi w:val="0"/>
        <w:spacing w:before="0" w:after="240"/>
        <w:jc w:val="left"/>
        <w:rPr/>
      </w:pPr>
      <w:r>
        <w:rPr/>
      </w:r>
    </w:p>
    <w:p>
      <w:pPr>
        <w:pStyle w:val="TextBody"/>
        <w:bidi w:val="0"/>
        <w:spacing w:lineRule="auto" w:line="333"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 following directors were elected at the annual meeting:</w:t>
      </w:r>
    </w:p>
    <w:tbl>
      <w:tblPr>
        <w:tblW w:w="10205" w:type="dxa"/>
        <w:jc w:val="left"/>
        <w:tblInd w:w="0" w:type="dxa"/>
        <w:tblLayout w:type="fixed"/>
        <w:tblCellMar>
          <w:top w:w="28" w:type="dxa"/>
          <w:left w:w="28" w:type="dxa"/>
          <w:bottom w:w="28" w:type="dxa"/>
          <w:right w:w="28" w:type="dxa"/>
        </w:tblCellMar>
      </w:tblPr>
      <w:tblGrid>
        <w:gridCol w:w="787"/>
        <w:gridCol w:w="669"/>
        <w:gridCol w:w="678"/>
        <w:gridCol w:w="109"/>
        <w:gridCol w:w="109"/>
        <w:gridCol w:w="109"/>
        <w:gridCol w:w="109"/>
        <w:gridCol w:w="109"/>
        <w:gridCol w:w="109"/>
        <w:gridCol w:w="109"/>
        <w:gridCol w:w="109"/>
        <w:gridCol w:w="109"/>
        <w:gridCol w:w="109"/>
        <w:gridCol w:w="109"/>
        <w:gridCol w:w="109"/>
        <w:gridCol w:w="488"/>
        <w:gridCol w:w="488"/>
        <w:gridCol w:w="252"/>
        <w:gridCol w:w="109"/>
        <w:gridCol w:w="109"/>
        <w:gridCol w:w="109"/>
        <w:gridCol w:w="109"/>
        <w:gridCol w:w="109"/>
        <w:gridCol w:w="109"/>
        <w:gridCol w:w="170"/>
        <w:gridCol w:w="170"/>
        <w:gridCol w:w="170"/>
        <w:gridCol w:w="413"/>
        <w:gridCol w:w="413"/>
        <w:gridCol w:w="170"/>
        <w:gridCol w:w="109"/>
        <w:gridCol w:w="109"/>
        <w:gridCol w:w="109"/>
        <w:gridCol w:w="308"/>
        <w:gridCol w:w="308"/>
        <w:gridCol w:w="306"/>
        <w:gridCol w:w="109"/>
        <w:gridCol w:w="109"/>
        <w:gridCol w:w="109"/>
        <w:gridCol w:w="488"/>
        <w:gridCol w:w="488"/>
        <w:gridCol w:w="445"/>
        <w:gridCol w:w="109"/>
        <w:gridCol w:w="109"/>
        <w:gridCol w:w="160"/>
      </w:tblGrid>
      <w:tr>
        <w:trPr/>
        <w:tc>
          <w:tcPr>
            <w:tcW w:w="78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283"/>
              <w:jc w:val="right"/>
              <w:rPr>
                <w:rFonts w:ascii="Times New Roman;serif" w:hAnsi="Times New Roman;serif"/>
                <w:b w:val="false"/>
                <w:color w:val="000000"/>
                <w:sz w:val="16"/>
              </w:rPr>
            </w:pPr>
            <w:r>
              <w:rPr>
                <w:rFonts w:ascii="Times New Roman;serif" w:hAnsi="Times New Roman;serif"/>
                <w:b w:val="false"/>
                <w:color w:val="000000"/>
                <w:sz w:val="16"/>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283"/>
              <w:jc w:val="right"/>
              <w:rPr>
                <w:rFonts w:ascii="Times New Roman;serif" w:hAnsi="Times New Roman;serif"/>
                <w:b w:val="false"/>
                <w:color w:val="000000"/>
                <w:sz w:val="16"/>
              </w:rPr>
            </w:pPr>
            <w:r>
              <w:rPr>
                <w:rFonts w:ascii="Times New Roman;serif" w:hAnsi="Times New Roman;serif"/>
                <w:b w:val="false"/>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Broker Non-Votes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Barry M. Monheit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8,785,462 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Favreau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8,593,281 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E. Gallagher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9,048,076 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J. Gluchowski,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8,833,653 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Leary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9,112,970 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Luis G. Marconi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8,808,628 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D. Murphy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9,191,801 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stockholders ratified the appointment of Grant Thornton LLP as our independent registered public accountants for the fiscal year ending April 30, 2026. The voting results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62"/>
        <w:gridCol w:w="1109"/>
        <w:gridCol w:w="1115"/>
        <w:gridCol w:w="109"/>
        <w:gridCol w:w="109"/>
        <w:gridCol w:w="109"/>
        <w:gridCol w:w="540"/>
        <w:gridCol w:w="541"/>
        <w:gridCol w:w="206"/>
        <w:gridCol w:w="109"/>
        <w:gridCol w:w="109"/>
        <w:gridCol w:w="109"/>
        <w:gridCol w:w="109"/>
        <w:gridCol w:w="109"/>
        <w:gridCol w:w="109"/>
        <w:gridCol w:w="360"/>
        <w:gridCol w:w="361"/>
        <w:gridCol w:w="272"/>
        <w:gridCol w:w="109"/>
        <w:gridCol w:w="109"/>
        <w:gridCol w:w="109"/>
        <w:gridCol w:w="109"/>
        <w:gridCol w:w="109"/>
        <w:gridCol w:w="109"/>
        <w:gridCol w:w="360"/>
        <w:gridCol w:w="361"/>
        <w:gridCol w:w="306"/>
        <w:gridCol w:w="109"/>
        <w:gridCol w:w="109"/>
        <w:gridCol w:w="109"/>
        <w:gridCol w:w="109"/>
        <w:gridCol w:w="109"/>
        <w:gridCol w:w="109"/>
        <w:gridCol w:w="322"/>
        <w:gridCol w:w="578"/>
        <w:gridCol w:w="223"/>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Broker Non-Votes</w:t>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Ratification of Grant Thornton LLP as independent registered public accountants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11,152,612 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68"/>
        <w:gridCol w:w="1112"/>
        <w:gridCol w:w="1118"/>
        <w:gridCol w:w="109"/>
        <w:gridCol w:w="109"/>
        <w:gridCol w:w="109"/>
        <w:gridCol w:w="488"/>
        <w:gridCol w:w="488"/>
        <w:gridCol w:w="180"/>
        <w:gridCol w:w="109"/>
        <w:gridCol w:w="109"/>
        <w:gridCol w:w="109"/>
        <w:gridCol w:w="109"/>
        <w:gridCol w:w="109"/>
        <w:gridCol w:w="109"/>
        <w:gridCol w:w="360"/>
        <w:gridCol w:w="361"/>
        <w:gridCol w:w="233"/>
        <w:gridCol w:w="109"/>
        <w:gridCol w:w="109"/>
        <w:gridCol w:w="109"/>
        <w:gridCol w:w="109"/>
        <w:gridCol w:w="109"/>
        <w:gridCol w:w="109"/>
        <w:gridCol w:w="308"/>
        <w:gridCol w:w="308"/>
        <w:gridCol w:w="306"/>
        <w:gridCol w:w="109"/>
        <w:gridCol w:w="109"/>
        <w:gridCol w:w="109"/>
        <w:gridCol w:w="109"/>
        <w:gridCol w:w="109"/>
        <w:gridCol w:w="109"/>
        <w:gridCol w:w="488"/>
        <w:gridCol w:w="488"/>
        <w:gridCol w:w="410"/>
      </w:tblGrid>
      <w:tr>
        <w:trPr/>
        <w:tc>
          <w:tcPr>
            <w:tcW w:w="1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Broker Non-Votes</w:t>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on a non-binding advisory basis, of the compensation paid to the Company’s named executive officers for fiscal year 2026, as disclosed in the proxy statement (a "say-on-pay" vote)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9,179,014 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53,702 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664"/>
        <w:gridCol w:w="583"/>
        <w:gridCol w:w="585"/>
        <w:gridCol w:w="109"/>
        <w:gridCol w:w="109"/>
        <w:gridCol w:w="109"/>
        <w:gridCol w:w="488"/>
        <w:gridCol w:w="488"/>
        <w:gridCol w:w="146"/>
        <w:gridCol w:w="109"/>
        <w:gridCol w:w="109"/>
        <w:gridCol w:w="109"/>
        <w:gridCol w:w="109"/>
        <w:gridCol w:w="109"/>
        <w:gridCol w:w="109"/>
        <w:gridCol w:w="308"/>
        <w:gridCol w:w="308"/>
        <w:gridCol w:w="166"/>
        <w:gridCol w:w="109"/>
        <w:gridCol w:w="109"/>
        <w:gridCol w:w="109"/>
        <w:gridCol w:w="109"/>
        <w:gridCol w:w="109"/>
        <w:gridCol w:w="109"/>
        <w:gridCol w:w="488"/>
        <w:gridCol w:w="488"/>
        <w:gridCol w:w="166"/>
        <w:gridCol w:w="109"/>
        <w:gridCol w:w="109"/>
        <w:gridCol w:w="109"/>
        <w:gridCol w:w="109"/>
        <w:gridCol w:w="109"/>
        <w:gridCol w:w="109"/>
        <w:gridCol w:w="360"/>
        <w:gridCol w:w="361"/>
        <w:gridCol w:w="306"/>
        <w:gridCol w:w="109"/>
        <w:gridCol w:w="109"/>
        <w:gridCol w:w="109"/>
        <w:gridCol w:w="109"/>
        <w:gridCol w:w="109"/>
        <w:gridCol w:w="109"/>
        <w:gridCol w:w="488"/>
        <w:gridCol w:w="488"/>
        <w:gridCol w:w="381"/>
      </w:tblGrid>
      <w:tr>
        <w:trPr/>
        <w:tc>
          <w:tcPr>
            <w:tcW w:w="6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Broker Non-Votes</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on a non-binding advisory basis, of the frequency of ONE YEAR for future say-on-pay votes (a "say-on-frequency" vote)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8,179,958 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1,038,421 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19,019 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1,972,633 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713"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149"/>
        <w:gridCol w:w="149"/>
        <w:gridCol w:w="151"/>
        <w:gridCol w:w="1843"/>
        <w:gridCol w:w="1843"/>
        <w:gridCol w:w="26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OUTDOOR BRANDS,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2026</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H. Andrew Fulmer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 Andrew Fulmer</w:t>
              <w:br/>
            </w:r>
            <w:r>
              <w:rPr>
                <w:rFonts w:ascii="Times New Roman;serif" w:hAnsi="Times New Roman;serif"/>
                <w:b w:val="false"/>
                <w:i/>
                <w:color w:val="000000"/>
                <w:sz w:val="20"/>
              </w:rPr>
              <w:t>Executive Vice President, Chief Financial Officer, Treasurer,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4321</Characters>
  <CharactersWithSpaces>4961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