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4"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0" w:after="283"/>
        <w:jc w:val="center"/>
        <w:rPr>
          <w:rFonts w:ascii="Times New Roman;serif" w:hAnsi="Times New Roman;serif"/>
          <w:b/>
          <w:color w:val="000000"/>
          <w:sz w:val="21"/>
        </w:rPr>
      </w:pPr>
      <w:r>
        <w:rPr>
          <w:rFonts w:ascii="Times New Roman;serif" w:hAnsi="Times New Roman;serif"/>
          <w:b/>
          <w:color w:val="000000"/>
          <w:sz w:val="21"/>
        </w:rPr>
        <w:t>Washington, D.C. 20549</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SD</w:t>
      </w:r>
    </w:p>
    <w:p>
      <w:pPr>
        <w:pStyle w:val="TextBody"/>
        <w:bidi w:val="0"/>
        <w:spacing w:before="0" w:after="0"/>
        <w:jc w:val="left"/>
        <w:rPr/>
      </w:pPr>
      <w:r>
        <w:rPr/>
      </w:r>
    </w:p>
    <w:p>
      <w:pPr>
        <w:pStyle w:val="TextBody"/>
        <w:bidi w:val="0"/>
        <w:spacing w:before="12" w:after="283"/>
        <w:jc w:val="left"/>
        <w:rPr/>
      </w:pPr>
      <w:r>
        <w:rPr/>
      </w:r>
    </w:p>
    <w:p>
      <w:pPr>
        <w:pStyle w:val="TextBody"/>
        <w:bidi w:val="0"/>
        <w:spacing w:lineRule="auto" w:line="288" w:before="0" w:after="0"/>
        <w:jc w:val="center"/>
        <w:rPr/>
      </w:pPr>
      <w:r>
        <w:rPr>
          <w:rFonts w:ascii="Times New Roman;serif" w:hAnsi="Times New Roman;serif"/>
          <w:b/>
          <w:color w:val="000000"/>
          <w:sz w:val="21"/>
        </w:rPr>
        <w:t>S</w:t>
      </w:r>
      <w:r>
        <w:rPr>
          <w:rFonts w:ascii="Times New Roman;serif" w:hAnsi="Times New Roman;serif"/>
          <w:b/>
          <w:color w:val="000000"/>
          <w:sz w:val="18"/>
        </w:rPr>
        <w:t xml:space="preserve">PECIALIZED </w:t>
      </w:r>
      <w:r>
        <w:rPr>
          <w:rFonts w:ascii="Times New Roman;serif" w:hAnsi="Times New Roman;serif"/>
          <w:b/>
          <w:color w:val="000000"/>
          <w:sz w:val="21"/>
        </w:rPr>
        <w:t>D</w:t>
      </w:r>
      <w:r>
        <w:rPr>
          <w:rFonts w:ascii="Times New Roman;serif" w:hAnsi="Times New Roman;serif"/>
          <w:b/>
          <w:color w:val="000000"/>
          <w:sz w:val="18"/>
        </w:rPr>
        <w:t xml:space="preserve">ISCLOSURE </w:t>
      </w:r>
      <w:r>
        <w:rPr>
          <w:rFonts w:ascii="Times New Roman;serif" w:hAnsi="Times New Roman;serif"/>
          <w:b/>
          <w:color w:val="000000"/>
          <w:sz w:val="21"/>
        </w:rPr>
        <w:t>R</w:t>
      </w:r>
      <w:r>
        <w:rPr>
          <w:rFonts w:ascii="Times New Roman;serif" w:hAnsi="Times New Roman;serif"/>
          <w:b/>
          <w:color w:val="000000"/>
          <w:sz w:val="18"/>
        </w:rPr>
        <w:t>EPORT</w:t>
      </w:r>
    </w:p>
    <w:p>
      <w:pPr>
        <w:pStyle w:val="TextBody"/>
        <w:bidi w:val="0"/>
        <w:spacing w:before="0" w:after="0"/>
        <w:jc w:val="left"/>
        <w:rPr/>
      </w:pPr>
      <w:r>
        <w:rPr/>
      </w:r>
    </w:p>
    <w:p>
      <w:pPr>
        <w:pStyle w:val="TextBody"/>
        <w:bidi w:val="0"/>
        <w:spacing w:lineRule="auto" w:line="288" w:before="0" w:after="0"/>
        <w:jc w:val="center"/>
        <w:rPr/>
      </w:pPr>
      <w:r>
        <w:rPr/>
        <w:drawing>
          <wp:inline distT="0" distB="0" distL="0" distR="0">
            <wp:extent cx="25717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38150"/>
                    </a:xfrm>
                    <a:prstGeom prst="rect">
                      <a:avLst/>
                    </a:prstGeom>
                  </pic:spPr>
                </pic:pic>
              </a:graphicData>
            </a:graphic>
          </wp:inline>
        </w:drawing>
      </w:r>
      <w:r>
        <w:rPr>
          <w:rFonts w:ascii="Times New Roman;serif" w:hAnsi="Times New Roman;serif"/>
          <w:b/>
          <w:color w:val="000000"/>
          <w:sz w:val="43"/>
        </w:rPr>
        <w:br/>
        <w:br/>
        <w:t>AMERICAN OUTDOOR BRANDS, INC.</w:t>
      </w:r>
    </w:p>
    <w:p>
      <w:pPr>
        <w:pStyle w:val="TextBody"/>
        <w:bidi w:val="0"/>
        <w:spacing w:lineRule="atLeast" w:line="203" w:before="1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before="0" w:after="0"/>
        <w:jc w:val="left"/>
        <w:rPr/>
      </w:pPr>
      <w:r>
        <w:rPr/>
      </w:r>
    </w:p>
    <w:tbl>
      <w:tblPr>
        <w:tblW w:w="4554" w:type="dxa"/>
        <w:jc w:val="left"/>
        <w:tblInd w:w="0" w:type="dxa"/>
        <w:tblLayout w:type="fixed"/>
        <w:tblCellMar>
          <w:top w:w="28" w:type="dxa"/>
          <w:left w:w="28" w:type="dxa"/>
          <w:bottom w:w="28" w:type="dxa"/>
          <w:right w:w="28" w:type="dxa"/>
        </w:tblCellMar>
      </w:tblPr>
      <w:tblGrid>
        <w:gridCol w:w="718"/>
        <w:gridCol w:w="629"/>
        <w:gridCol w:w="632"/>
        <w:gridCol w:w="109"/>
        <w:gridCol w:w="109"/>
        <w:gridCol w:w="109"/>
        <w:gridCol w:w="334"/>
        <w:gridCol w:w="334"/>
        <w:gridCol w:w="336"/>
        <w:gridCol w:w="363"/>
        <w:gridCol w:w="363"/>
        <w:gridCol w:w="518"/>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19" w:after="283"/>
              <w:jc w:val="right"/>
              <w:rPr/>
            </w:pPr>
            <w:r>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001-39366</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84-4630928</w:t>
            </w:r>
          </w:p>
        </w:tc>
      </w:tr>
      <w:tr>
        <w:trPr/>
        <w:tc>
          <w:tcPr>
            <w:tcW w:w="1979" w:type="dxa"/>
            <w:gridSpan w:val="3"/>
            <w:tcBorders/>
            <w:tcMar>
              <w:top w:w="0" w:type="dxa"/>
              <w:left w:w="0" w:type="dxa"/>
              <w:bottom w:w="0" w:type="dxa"/>
              <w:right w:w="0" w:type="dxa"/>
            </w:tcMar>
            <w:vAlign w:val="center"/>
          </w:tcPr>
          <w:p>
            <w:pPr>
              <w:pStyle w:val="TableContents"/>
              <w:bidi w:val="0"/>
              <w:spacing w:lineRule="atLeast" w:line="149" w:before="0" w:after="0"/>
              <w:jc w:val="left"/>
              <w:rPr>
                <w:rFonts w:ascii="Times New Roman;serif" w:hAnsi="Times New Roman;serif"/>
                <w:b/>
                <w:color w:val="000000"/>
                <w:sz w:val="13"/>
              </w:rPr>
            </w:pPr>
            <w:r>
              <w:rPr>
                <w:rFonts w:ascii="Times New Roman;serif" w:hAnsi="Times New Roman;serif"/>
                <w:b/>
                <w:color w:val="000000"/>
                <w:sz w:val="13"/>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4" w:type="dxa"/>
            <w:gridSpan w:val="3"/>
            <w:tcBorders/>
            <w:tcMar>
              <w:top w:w="0" w:type="dxa"/>
              <w:left w:w="0" w:type="dxa"/>
              <w:bottom w:w="0" w:type="dxa"/>
              <w:right w:w="0" w:type="dxa"/>
            </w:tcMar>
            <w:vAlign w:val="center"/>
          </w:tcPr>
          <w:p>
            <w:pPr>
              <w:pStyle w:val="TableContents"/>
              <w:bidi w:val="0"/>
              <w:spacing w:lineRule="atLeast" w:line="149" w:before="0" w:after="0"/>
              <w:jc w:val="left"/>
              <w:rPr>
                <w:rFonts w:ascii="Times New Roman;serif" w:hAnsi="Times New Roman;serif"/>
                <w:b/>
                <w:color w:val="000000"/>
                <w:sz w:val="13"/>
              </w:rPr>
            </w:pPr>
            <w:r>
              <w:rPr>
                <w:rFonts w:ascii="Times New Roman;serif" w:hAnsi="Times New Roman;serif"/>
                <w:b/>
                <w:color w:val="000000"/>
                <w:sz w:val="13"/>
              </w:rPr>
              <w:t>(Commission</w:t>
            </w:r>
          </w:p>
        </w:tc>
        <w:tc>
          <w:tcPr>
            <w:tcW w:w="1244" w:type="dxa"/>
            <w:gridSpan w:val="3"/>
            <w:tcBorders/>
            <w:tcMar>
              <w:top w:w="0" w:type="dxa"/>
              <w:left w:w="0" w:type="dxa"/>
              <w:bottom w:w="0" w:type="dxa"/>
              <w:right w:w="0" w:type="dxa"/>
            </w:tcMar>
            <w:vAlign w:val="center"/>
          </w:tcPr>
          <w:p>
            <w:pPr>
              <w:pStyle w:val="TableContents"/>
              <w:bidi w:val="0"/>
              <w:spacing w:lineRule="atLeast" w:line="149" w:before="0" w:after="0"/>
              <w:jc w:val="right"/>
              <w:rPr>
                <w:rFonts w:ascii="Times New Roman;serif" w:hAnsi="Times New Roman;serif"/>
                <w:b/>
                <w:color w:val="000000"/>
                <w:sz w:val="13"/>
              </w:rPr>
            </w:pPr>
            <w:r>
              <w:rPr>
                <w:rFonts w:ascii="Times New Roman;serif" w:hAnsi="Times New Roman;serif"/>
                <w:b/>
                <w:color w:val="000000"/>
                <w:sz w:val="13"/>
              </w:rPr>
              <w:t>(IRS Employer</w:t>
            </w:r>
          </w:p>
        </w:tc>
      </w:tr>
      <w:tr>
        <w:trPr/>
        <w:tc>
          <w:tcPr>
            <w:tcW w:w="1979" w:type="dxa"/>
            <w:gridSpan w:val="3"/>
            <w:tcBorders/>
            <w:tcMar>
              <w:top w:w="0" w:type="dxa"/>
              <w:left w:w="0" w:type="dxa"/>
              <w:bottom w:w="0" w:type="dxa"/>
              <w:right w:w="0" w:type="dxa"/>
            </w:tcMar>
            <w:vAlign w:val="center"/>
          </w:tcPr>
          <w:p>
            <w:pPr>
              <w:pStyle w:val="TableContents"/>
              <w:bidi w:val="0"/>
              <w:spacing w:lineRule="atLeast" w:line="148" w:before="0" w:after="0"/>
              <w:jc w:val="left"/>
              <w:rPr>
                <w:rFonts w:ascii="Times New Roman;serif" w:hAnsi="Times New Roman;serif"/>
                <w:b/>
                <w:color w:val="000000"/>
                <w:sz w:val="13"/>
              </w:rPr>
            </w:pPr>
            <w:r>
              <w:rPr>
                <w:rFonts w:ascii="Times New Roman;serif" w:hAnsi="Times New Roman;serif"/>
                <w:b/>
                <w:color w:val="000000"/>
                <w:sz w:val="13"/>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4" w:type="dxa"/>
            <w:gridSpan w:val="3"/>
            <w:tcBorders/>
            <w:tcMar>
              <w:top w:w="0" w:type="dxa"/>
              <w:left w:w="0" w:type="dxa"/>
              <w:bottom w:w="0" w:type="dxa"/>
              <w:right w:w="0" w:type="dxa"/>
            </w:tcMar>
            <w:vAlign w:val="center"/>
          </w:tcPr>
          <w:p>
            <w:pPr>
              <w:pStyle w:val="TableContents"/>
              <w:bidi w:val="0"/>
              <w:spacing w:lineRule="atLeast" w:line="148" w:before="0" w:after="0"/>
              <w:jc w:val="left"/>
              <w:rPr>
                <w:rFonts w:ascii="Times New Roman;serif" w:hAnsi="Times New Roman;serif"/>
                <w:b/>
                <w:color w:val="000000"/>
                <w:sz w:val="13"/>
              </w:rPr>
            </w:pPr>
            <w:r>
              <w:rPr>
                <w:rFonts w:ascii="Times New Roman;serif" w:hAnsi="Times New Roman;serif"/>
                <w:b/>
                <w:color w:val="000000"/>
                <w:sz w:val="13"/>
              </w:rPr>
              <w:t>File Number)</w:t>
            </w:r>
          </w:p>
        </w:tc>
        <w:tc>
          <w:tcPr>
            <w:tcW w:w="1244" w:type="dxa"/>
            <w:gridSpan w:val="3"/>
            <w:tcBorders/>
            <w:tcMar>
              <w:top w:w="0" w:type="dxa"/>
              <w:left w:w="0" w:type="dxa"/>
              <w:bottom w:w="0" w:type="dxa"/>
              <w:right w:w="0" w:type="dxa"/>
            </w:tcMar>
            <w:vAlign w:val="center"/>
          </w:tcPr>
          <w:p>
            <w:pPr>
              <w:pStyle w:val="TableContents"/>
              <w:bidi w:val="0"/>
              <w:spacing w:lineRule="atLeast" w:line="148" w:before="0" w:after="0"/>
              <w:jc w:val="left"/>
              <w:rPr>
                <w:rFonts w:ascii="Times New Roman;serif" w:hAnsi="Times New Roman;serif"/>
                <w:b/>
                <w:color w:val="000000"/>
                <w:sz w:val="13"/>
              </w:rPr>
            </w:pPr>
            <w:r>
              <w:rPr>
                <w:rFonts w:ascii="Times New Roman;serif" w:hAnsi="Times New Roman;serif"/>
                <w:b/>
                <w:color w:val="000000"/>
                <w:sz w:val="13"/>
              </w:rPr>
              <w:t>Identification No.)</w:t>
            </w:r>
          </w:p>
        </w:tc>
      </w:tr>
    </w:tbl>
    <w:p>
      <w:pPr>
        <w:pStyle w:val="TextBody"/>
        <w:bidi w:val="0"/>
        <w:spacing w:before="0" w:after="0"/>
        <w:jc w:val="left"/>
        <w:rPr/>
      </w:pPr>
      <w:r>
        <w:rPr/>
      </w:r>
    </w:p>
    <w:tbl>
      <w:tblPr>
        <w:tblW w:w="6388" w:type="dxa"/>
        <w:jc w:val="left"/>
        <w:tblInd w:w="0" w:type="dxa"/>
        <w:tblLayout w:type="fixed"/>
        <w:tblCellMar>
          <w:top w:w="28" w:type="dxa"/>
          <w:left w:w="28" w:type="dxa"/>
          <w:bottom w:w="28" w:type="dxa"/>
          <w:right w:w="28" w:type="dxa"/>
        </w:tblCellMar>
      </w:tblPr>
      <w:tblGrid>
        <w:gridCol w:w="1603"/>
        <w:gridCol w:w="1406"/>
        <w:gridCol w:w="1423"/>
        <w:gridCol w:w="198"/>
        <w:gridCol w:w="198"/>
        <w:gridCol w:w="198"/>
        <w:gridCol w:w="398"/>
        <w:gridCol w:w="398"/>
        <w:gridCol w:w="566"/>
      </w:tblGrid>
      <w:tr>
        <w:trPr/>
        <w:tc>
          <w:tcPr>
            <w:tcW w:w="16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8"/>
              </w:rPr>
            </w:pPr>
            <w:r>
              <w:rPr>
                <w:rFonts w:ascii="Times New Roman;serif" w:hAnsi="Times New Roman;serif"/>
                <w:b/>
                <w:color w:val="000000"/>
                <w:sz w:val="18"/>
              </w:rPr>
              <w:t>1800 North Route Z</w:t>
            </w:r>
          </w:p>
        </w:tc>
        <w:tc>
          <w:tcPr>
            <w:tcW w:w="5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32" w:type="dxa"/>
            <w:gridSpan w:val="3"/>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8"/>
              </w:rPr>
            </w:pPr>
            <w:r>
              <w:rPr>
                <w:rFonts w:ascii="Times New Roman;serif" w:hAnsi="Times New Roman;serif"/>
                <w:b/>
                <w:color w:val="000000"/>
                <w:sz w:val="18"/>
              </w:rPr>
              <w:t>Columbia, Missouri</w:t>
            </w:r>
          </w:p>
        </w:tc>
        <w:tc>
          <w:tcPr>
            <w:tcW w:w="5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2" w:type="dxa"/>
            <w:gridSpan w:val="3"/>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8"/>
              </w:rPr>
            </w:pPr>
            <w:r>
              <w:rPr>
                <w:rFonts w:ascii="Times New Roman;serif" w:hAnsi="Times New Roman;serif"/>
                <w:b/>
                <w:color w:val="000000"/>
                <w:sz w:val="18"/>
              </w:rPr>
              <w:t>65202</w:t>
            </w:r>
          </w:p>
        </w:tc>
      </w:tr>
      <w:tr>
        <w:trPr/>
        <w:tc>
          <w:tcPr>
            <w:tcW w:w="4432" w:type="dxa"/>
            <w:gridSpan w:val="3"/>
            <w:tcBorders/>
            <w:tcMar>
              <w:top w:w="0" w:type="dxa"/>
              <w:left w:w="0" w:type="dxa"/>
              <w:bottom w:w="0" w:type="dxa"/>
              <w:right w:w="0" w:type="dxa"/>
            </w:tcMar>
            <w:vAlign w:val="center"/>
          </w:tcPr>
          <w:p>
            <w:pPr>
              <w:pStyle w:val="TableContents"/>
              <w:bidi w:val="0"/>
              <w:spacing w:lineRule="atLeast" w:line="206" w:before="0" w:after="0"/>
              <w:jc w:val="left"/>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5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2" w:type="dxa"/>
            <w:gridSpan w:val="3"/>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3"/>
              </w:rPr>
            </w:pPr>
            <w:r>
              <w:rPr>
                <w:rFonts w:ascii="Times New Roman;serif" w:hAnsi="Times New Roman;serif"/>
                <w:b/>
                <w:color w:val="000000"/>
                <w:sz w:val="13"/>
              </w:rPr>
              <w:t>(Zip code)</w:t>
            </w:r>
          </w:p>
        </w:tc>
      </w:tr>
      <w:tr>
        <w:trPr/>
        <w:tc>
          <w:tcPr>
            <w:tcW w:w="44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388" w:type="dxa"/>
            <w:gridSpan w:val="9"/>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8"/>
              </w:rPr>
            </w:pPr>
            <w:r>
              <w:rPr>
                <w:rFonts w:ascii="Times New Roman;serif" w:hAnsi="Times New Roman;serif"/>
                <w:b/>
                <w:color w:val="000000"/>
                <w:sz w:val="18"/>
              </w:rPr>
              <w:t>H. Andrew Fulmer, EVP, CFO &amp; Treasurer – (800) 338-9585</w:t>
            </w:r>
          </w:p>
        </w:tc>
      </w:tr>
      <w:tr>
        <w:trPr/>
        <w:tc>
          <w:tcPr>
            <w:tcW w:w="6388" w:type="dxa"/>
            <w:gridSpan w:val="9"/>
            <w:tcBorders/>
            <w:tcMar>
              <w:top w:w="0" w:type="dxa"/>
              <w:left w:w="0" w:type="dxa"/>
              <w:bottom w:w="0" w:type="dxa"/>
              <w:right w:w="0" w:type="dxa"/>
            </w:tcMar>
            <w:vAlign w:val="center"/>
          </w:tcPr>
          <w:p>
            <w:pPr>
              <w:pStyle w:val="TableContents"/>
              <w:bidi w:val="0"/>
              <w:spacing w:lineRule="atLeast" w:line="206" w:before="0" w:after="0"/>
              <w:jc w:val="center"/>
              <w:rPr>
                <w:rFonts w:ascii="Times New Roman;serif" w:hAnsi="Times New Roman;serif"/>
                <w:b/>
                <w:color w:val="000000"/>
                <w:sz w:val="13"/>
              </w:rPr>
            </w:pPr>
            <w:r>
              <w:rPr>
                <w:rFonts w:ascii="Times New Roman;serif" w:hAnsi="Times New Roman;serif"/>
                <w:b/>
                <w:color w:val="000000"/>
                <w:sz w:val="13"/>
              </w:rPr>
              <w:t>(Name and telephone number, including area code, of the person to contact in connection with this report.)</w:t>
            </w:r>
          </w:p>
        </w:tc>
      </w:tr>
    </w:tbl>
    <w:p>
      <w:pPr>
        <w:pStyle w:val="TextBody"/>
        <w:bidi w:val="0"/>
        <w:spacing w:before="0" w:after="0"/>
        <w:jc w:val="left"/>
        <w:rPr/>
      </w:pPr>
      <w:r>
        <w:rPr/>
      </w:r>
    </w:p>
    <w:p>
      <w:pPr>
        <w:pStyle w:val="TextBody"/>
        <w:bidi w:val="0"/>
        <w:spacing w:lineRule="atLeast" w:line="206"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to indicate the rule pursuant to which this form is being filed, and provide the period to which the information in this form applies:</w:t>
      </w:r>
    </w:p>
    <w:p>
      <w:pPr>
        <w:pStyle w:val="TextBody"/>
        <w:bidi w:val="0"/>
        <w:spacing w:before="6" w:after="283"/>
        <w:jc w:val="left"/>
        <w:rPr/>
      </w:pPr>
      <w:r>
        <w:rPr/>
      </w:r>
    </w:p>
    <w:p>
      <w:pPr>
        <w:pStyle w:val="TextBody"/>
        <w:bidi w:val="0"/>
        <w:spacing w:lineRule="auto" w:line="319" w:before="0" w:after="0"/>
        <w:jc w:val="center"/>
        <w:rPr/>
      </w:pPr>
      <w:r>
        <w:rPr>
          <w:color w:val="000000"/>
        </w:rPr>
        <w:t>☒    </w:t>
      </w:r>
      <w:r>
        <w:rPr>
          <w:rFonts w:ascii="Times New Roman;serif" w:hAnsi="Times New Roman;serif"/>
          <w:b w:val="false"/>
          <w:color w:val="000000"/>
          <w:sz w:val="18"/>
        </w:rPr>
        <w:t>Rule 13p-1 under the Securities Exchange Act (17 CFR 240.13p-1) for the reporting period from January 1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4" w:after="283"/>
        <w:jc w:val="left"/>
        <w:rPr>
          <w:rFonts w:ascii="Times New Roman;serif" w:hAnsi="Times New Roman;serif"/>
          <w:b/>
          <w:color w:val="000000"/>
          <w:sz w:val="20"/>
        </w:rPr>
      </w:pPr>
      <w:r>
        <w:rPr>
          <w:rFonts w:ascii="Times New Roman;serif" w:hAnsi="Times New Roman;serif"/>
          <w:b/>
          <w:color w:val="000000"/>
          <w:sz w:val="20"/>
        </w:rPr>
        <w:t>Section 1    Conflict Minerals Disclosure</w:t>
      </w:r>
    </w:p>
    <w:p>
      <w:pPr>
        <w:pStyle w:val="TextBody"/>
        <w:bidi w:val="0"/>
        <w:spacing w:lineRule="auto" w:line="288" w:before="93" w:after="283"/>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lineRule="auto" w:line="288" w:before="81" w:after="283"/>
        <w:jc w:val="left"/>
        <w:rPr/>
      </w:pPr>
      <w:r>
        <w:rPr>
          <w:rFonts w:ascii="Times New Roman;serif" w:hAnsi="Times New Roman;serif"/>
          <w:b w:val="false"/>
          <w:color w:val="000000"/>
          <w:sz w:val="20"/>
        </w:rPr>
        <w:t xml:space="preserve">A copy of American Outdoor Brands, Inc. Conflict Minerals Report is filed as Exhibit 1.01 hereto and is publicly available at </w:t>
      </w:r>
      <w:r>
        <w:rPr>
          <w:rFonts w:ascii="Times New Roman;serif" w:hAnsi="Times New Roman;serif"/>
          <w:b w:val="false"/>
          <w:i/>
          <w:color w:val="000000"/>
          <w:sz w:val="20"/>
        </w:rPr>
        <w:t xml:space="preserve">https://ir.aob.com/corporate-governance/conflict-minerals. </w:t>
      </w:r>
      <w:r>
        <w:rPr>
          <w:rFonts w:ascii="Times New Roman;serif" w:hAnsi="Times New Roman;serif"/>
          <w:b w:val="false"/>
          <w:color w:val="000000"/>
          <w:sz w:val="20"/>
        </w:rPr>
        <w:t>The content of our website as referred to in this Form SD is included for general information only and is not incorporated by reference into this Form SD.</w:t>
      </w:r>
    </w:p>
    <w:p>
      <w:pPr>
        <w:pStyle w:val="TextBody"/>
        <w:bidi w:val="0"/>
        <w:spacing w:before="19"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1.02    Exhibits</w:t>
      </w:r>
    </w:p>
    <w:p>
      <w:pPr>
        <w:pStyle w:val="TextBody"/>
        <w:bidi w:val="0"/>
        <w:spacing w:lineRule="auto" w:line="288" w:before="81" w:after="283"/>
        <w:jc w:val="left"/>
        <w:rPr/>
      </w:pPr>
      <w:r>
        <w:rPr>
          <w:rFonts w:ascii="Times New Roman;serif" w:hAnsi="Times New Roman;serif"/>
          <w:b w:val="false"/>
          <w:color w:val="000000"/>
          <w:sz w:val="20"/>
        </w:rPr>
        <w:t xml:space="preserve">Exhibit 1.01 </w:t>
      </w:r>
      <w:hyperlink w:anchor="exhibit101cy2025.htm">
        <w:r>
          <w:rPr>
            <w:rStyle w:val="InternetLink"/>
            <w:rFonts w:ascii="Times New Roman;serif" w:hAnsi="Times New Roman;serif"/>
            <w:b w:val="false"/>
            <w:color w:val="0000FF"/>
            <w:sz w:val="20"/>
            <w:u w:val="single"/>
          </w:rPr>
          <w:t>Conflict Minerals Report</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2    Exhibits</w:t>
      </w:r>
    </w:p>
    <w:p>
      <w:pPr>
        <w:pStyle w:val="TextBody"/>
        <w:bidi w:val="0"/>
        <w:spacing w:lineRule="auto" w:line="288" w:before="93" w:after="283"/>
        <w:jc w:val="left"/>
        <w:rPr>
          <w:rFonts w:ascii="Times New Roman;serif" w:hAnsi="Times New Roman;serif"/>
          <w:b/>
          <w:color w:val="000000"/>
          <w:sz w:val="20"/>
        </w:rPr>
      </w:pPr>
      <w:r>
        <w:rPr>
          <w:rFonts w:ascii="Times New Roman;serif" w:hAnsi="Times New Roman;serif"/>
          <w:b/>
          <w:color w:val="000000"/>
          <w:sz w:val="20"/>
        </w:rPr>
        <w:t>Item 2.01    Exhibits</w:t>
      </w:r>
    </w:p>
    <w:p>
      <w:pPr>
        <w:pStyle w:val="TextBody"/>
        <w:bidi w:val="0"/>
        <w:spacing w:lineRule="auto" w:line="288" w:before="81"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as part of this report:</w:t>
      </w:r>
    </w:p>
    <w:p>
      <w:pPr>
        <w:pStyle w:val="TextBody"/>
        <w:bidi w:val="0"/>
        <w:spacing w:before="1" w:after="283"/>
        <w:jc w:val="left"/>
        <w:rPr/>
      </w:pPr>
      <w:r>
        <w:rPr/>
      </w:r>
    </w:p>
    <w:p>
      <w:pPr>
        <w:pStyle w:val="TextBody"/>
        <w:bidi w:val="0"/>
        <w:spacing w:lineRule="atLeast" w:line="203" w:before="0" w:after="0"/>
        <w:jc w:val="left"/>
        <w:rPr>
          <w:rFonts w:ascii="Times New Roman;serif" w:hAnsi="Times New Roman;serif"/>
          <w:b w:val="false"/>
          <w:color w:val="000000"/>
          <w:sz w:val="20"/>
        </w:rPr>
      </w:pPr>
      <w:r>
        <w:rPr>
          <w:rFonts w:ascii="Times New Roman;serif" w:hAnsi="Times New Roman;serif"/>
          <w:b w:val="false"/>
          <w:color w:val="000000"/>
          <w:sz w:val="20"/>
        </w:rPr>
        <w:t>Exhibit 1.01 – Conflict Minerals Report as required by Items 1.01 and 1.02 of this Form.</w:t>
      </w:r>
    </w:p>
    <w:p>
      <w:pPr>
        <w:pStyle w:val="TextBody"/>
        <w:bidi w:val="0"/>
        <w:spacing w:before="6" w:after="283"/>
        <w:jc w:val="left"/>
        <w:rPr/>
      </w:pPr>
      <w:r>
        <w:rPr/>
      </w:r>
    </w:p>
    <w:p>
      <w:pPr>
        <w:pStyle w:val="TextBody"/>
        <w:bidi w:val="0"/>
        <w:spacing w:lineRule="auto" w:line="288" w:before="0" w:after="0"/>
        <w:ind w:left="0" w:right="0" w:hanging="4997"/>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before="3" w:after="283"/>
        <w:jc w:val="left"/>
        <w:rPr/>
      </w:pPr>
      <w:r>
        <w:rPr/>
      </w:r>
    </w:p>
    <w:p>
      <w:pPr>
        <w:pStyle w:val="TextBody"/>
        <w:bidi w:val="0"/>
        <w:spacing w:before="0" w:after="0"/>
        <w:jc w:val="left"/>
        <w:rPr/>
      </w:pPr>
      <w:r>
        <w:rPr/>
      </w:r>
    </w:p>
    <w:p>
      <w:pPr>
        <w:pStyle w:val="TextBody"/>
        <w:bidi w:val="0"/>
        <w:spacing w:lineRule="auto" w:line="288" w:before="0" w:after="0"/>
        <w:ind w:left="0" w:right="0" w:hanging="4997"/>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 undersigned.</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AMERICAN OUTDOOR BRANDS, INC., a Delaware corporation</w:t>
      </w:r>
    </w:p>
    <w:p>
      <w:pPr>
        <w:pStyle w:val="TextBody"/>
        <w:bidi w:val="0"/>
        <w:spacing w:before="0" w:after="0"/>
        <w:jc w:val="left"/>
        <w:rPr/>
      </w:pPr>
      <w:r>
        <w:rPr/>
      </w:r>
    </w:p>
    <w:tbl>
      <w:tblPr>
        <w:tblW w:w="4841" w:type="dxa"/>
        <w:jc w:val="left"/>
        <w:tblInd w:w="0" w:type="dxa"/>
        <w:tblLayout w:type="fixed"/>
        <w:tblCellMar>
          <w:top w:w="28" w:type="dxa"/>
          <w:left w:w="28" w:type="dxa"/>
          <w:bottom w:w="28" w:type="dxa"/>
          <w:right w:w="28" w:type="dxa"/>
        </w:tblCellMar>
      </w:tblPr>
      <w:tblGrid>
        <w:gridCol w:w="195"/>
        <w:gridCol w:w="173"/>
        <w:gridCol w:w="174"/>
        <w:gridCol w:w="788"/>
        <w:gridCol w:w="788"/>
        <w:gridCol w:w="790"/>
        <w:gridCol w:w="214"/>
        <w:gridCol w:w="214"/>
        <w:gridCol w:w="216"/>
        <w:gridCol w:w="377"/>
        <w:gridCol w:w="377"/>
        <w:gridCol w:w="535"/>
      </w:tblGrid>
      <w:tr>
        <w:trPr/>
        <w:tc>
          <w:tcPr>
            <w:tcW w:w="1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29, 2026</w:t>
            </w:r>
          </w:p>
        </w:tc>
      </w:tr>
      <w:tr>
        <w:trPr/>
        <w:tc>
          <w:tcPr>
            <w:tcW w:w="290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 Andrew Fulmer</w:t>
            </w:r>
          </w:p>
        </w:tc>
        <w:tc>
          <w:tcPr>
            <w:tcW w:w="6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90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EVP, CFO, Treasurer, &amp; Secretary</w:t>
            </w:r>
          </w:p>
        </w:tc>
        <w:tc>
          <w:tcPr>
            <w:tcW w:w="6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4" w:after="283"/>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84" w:after="283"/>
        <w:jc w:val="both"/>
        <w:rPr/>
      </w:pPr>
      <w:r>
        <w:rPr/>
      </w:r>
    </w:p>
    <w:p>
      <w:pPr>
        <w:pStyle w:val="TextBody"/>
        <w:bidi w:val="0"/>
        <w:spacing w:lineRule="auto" w:line="288" w:before="84" w:after="283"/>
        <w:jc w:val="center"/>
        <w:rPr>
          <w:rFonts w:ascii="Times New Roman;serif" w:hAnsi="Times New Roman;serif"/>
          <w:b/>
          <w:color w:val="000000"/>
          <w:sz w:val="20"/>
        </w:rPr>
      </w:pPr>
      <w:r>
        <w:rPr>
          <w:rFonts w:ascii="Times New Roman;serif" w:hAnsi="Times New Roman;serif"/>
          <w:b/>
          <w:color w:val="000000"/>
          <w:sz w:val="20"/>
        </w:rPr>
        <w:t>AMERICAN OUTDOOR BRANDS, INC. CONFLICT MINERALS REPORT</w:t>
      </w:r>
    </w:p>
    <w:p>
      <w:pPr>
        <w:pStyle w:val="TextBody"/>
        <w:bidi w:val="0"/>
        <w:spacing w:lineRule="auto" w:line="288" w:before="84" w:after="283"/>
        <w:jc w:val="center"/>
        <w:rPr>
          <w:rFonts w:ascii="Times New Roman;serif" w:hAnsi="Times New Roman;serif"/>
          <w:b/>
          <w:color w:val="000000"/>
          <w:sz w:val="20"/>
        </w:rPr>
      </w:pPr>
      <w:r>
        <w:rPr>
          <w:rFonts w:ascii="Times New Roman;serif" w:hAnsi="Times New Roman;serif"/>
          <w:b/>
          <w:color w:val="000000"/>
          <w:sz w:val="20"/>
        </w:rPr>
        <w:t>FOR THE REPORTING PERIOD JANUARY 1, 2025 TO DECEMBER 31, 2025</w:t>
      </w:r>
    </w:p>
    <w:p>
      <w:pPr>
        <w:pStyle w:val="TextBody"/>
        <w:bidi w:val="0"/>
        <w:spacing w:before="84" w:after="283"/>
        <w:jc w:val="both"/>
        <w:rPr/>
      </w:pPr>
      <w:r>
        <w:rPr/>
      </w:r>
    </w:p>
    <w:p>
      <w:pPr>
        <w:pStyle w:val="TextBody"/>
        <w:bidi w:val="0"/>
        <w:spacing w:lineRule="auto" w:line="288" w:before="84" w:after="283"/>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81" w:after="283"/>
        <w:jc w:val="both"/>
        <w:rPr>
          <w:rFonts w:ascii="Times New Roman;serif" w:hAnsi="Times New Roman;serif"/>
          <w:b w:val="false"/>
          <w:color w:val="000000"/>
          <w:sz w:val="20"/>
        </w:rPr>
      </w:pPr>
      <w:r>
        <w:rPr>
          <w:rFonts w:ascii="Times New Roman;serif" w:hAnsi="Times New Roman;serif"/>
          <w:b w:val="false"/>
          <w:color w:val="000000"/>
          <w:sz w:val="20"/>
        </w:rPr>
        <w:t>This Conflict Minerals Report for American Outdoor Brands, Inc. (“AOB,” “Company,” “we,” or “our”) is provided for the reporting period January 1, 2025 to December 31, 2025, and is presented to comply with Rule 13p-1 under the Securities Exchange Act of 1934 (the “Rule”), and the Public Statement on the Effect of the Recent Court of Appeals Decision on the Conflict Minerals Rule issued by the Director of the Division of Corporation Finance of the Securities and Exchange Commission on April 29, 2014 (the “SEC Statement”). The Rule was adopted by the Securities and Exchange Commission (the “SEC”) to implement reporting and disclosure requirements related to conflict minerals as directed by the Dodd-Frank Wall Street Reform and Consumer Protection Act (“Dodd-Frank Act”). The Rule imposes certain reporting obligations on SEC registrants whose manufactured products contain tin, tantalum, tungsten, or gold (“3TG,” also defined by the Rule as “conflict minerals”), and who have reason to believe that the products they manufacture, or contract to manufacture, contain conflict minerals that are necessary to the functionality or production of those products. If the SEC registrant has reason to believe that any conflict minerals may have originated in the Democratic Republic of the Congo or an adjoining country, or is unable to determine the country of origin of those conflict minerals, the SEC registrant is required to submit a Conflict Minerals Report to the SEC that includes a description of the measures it took to exercise due diligence on the conflict minerals’ source and chain of custody.</w:t>
      </w:r>
    </w:p>
    <w:p>
      <w:pPr>
        <w:pStyle w:val="TextBody"/>
        <w:bidi w:val="0"/>
        <w:spacing w:before="3" w:after="283"/>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COMPANY BACKGROUND</w:t>
      </w:r>
    </w:p>
    <w:p>
      <w:pPr>
        <w:pStyle w:val="TextBody"/>
        <w:bidi w:val="0"/>
        <w:spacing w:lineRule="auto" w:line="288" w:before="81" w:after="283"/>
        <w:jc w:val="both"/>
        <w:rPr/>
      </w:pPr>
      <w:r>
        <w:rPr>
          <w:rFonts w:ascii="Times New Roman;serif" w:hAnsi="Times New Roman;serif"/>
          <w:b w:val="false"/>
          <w:color w:val="000000"/>
          <w:sz w:val="20"/>
        </w:rPr>
        <w:t>AOB is a leading provider of outdoor lifestyle products and shooting sports accessories encompassing hunting, fishing, meat processing, outdoor cooking, camping, shooting, and personal security and defense products for rugged outdoor enthusiasts. We conceive, design, source, and sell our products, including premium sportsman knives and tools for fishing and hunting; land management tools for hunting preparedness and for use in the backyard; products used while hunting; meat processing equipment; outdoor cooking products; camping, survival, and emergency preparedness products; electro-optical devices, including hunting optics, firearm aiming devices, flashlights, and laser grips; and reloading, gunsmithing, and firearm cleaning supplies. Our owned brands include Caldwell</w:t>
      </w:r>
      <w:r>
        <w:rPr>
          <w:rFonts w:ascii="Times New Roman;serif" w:hAnsi="Times New Roman;serif"/>
          <w:b w:val="false"/>
          <w:color w:val="000000"/>
          <w:sz w:val="10"/>
        </w:rPr>
        <w:t>®</w:t>
      </w:r>
      <w:r>
        <w:rPr>
          <w:rFonts w:ascii="Times New Roman;serif" w:hAnsi="Times New Roman;serif"/>
          <w:b w:val="false"/>
          <w:color w:val="000000"/>
          <w:sz w:val="20"/>
        </w:rPr>
        <w:t>, Wheeler</w:t>
      </w:r>
      <w:r>
        <w:rPr>
          <w:rFonts w:ascii="Times New Roman;serif" w:hAnsi="Times New Roman;serif"/>
          <w:b w:val="false"/>
          <w:color w:val="000000"/>
          <w:sz w:val="10"/>
        </w:rPr>
        <w:t>®</w:t>
      </w:r>
      <w:r>
        <w:rPr>
          <w:rFonts w:ascii="Times New Roman;serif" w:hAnsi="Times New Roman;serif"/>
          <w:b w:val="false"/>
          <w:color w:val="000000"/>
          <w:sz w:val="20"/>
        </w:rPr>
        <w:t>, Tipton</w:t>
      </w:r>
      <w:r>
        <w:rPr>
          <w:rFonts w:ascii="Times New Roman;serif" w:hAnsi="Times New Roman;serif"/>
          <w:b w:val="false"/>
          <w:color w:val="000000"/>
          <w:sz w:val="10"/>
        </w:rPr>
        <w:t>®</w:t>
      </w:r>
      <w:r>
        <w:rPr>
          <w:rFonts w:ascii="Times New Roman;serif" w:hAnsi="Times New Roman;serif"/>
          <w:b w:val="false"/>
          <w:color w:val="000000"/>
          <w:sz w:val="20"/>
        </w:rPr>
        <w:t>, Frankford, Arsenal</w:t>
      </w:r>
      <w:r>
        <w:rPr>
          <w:rFonts w:ascii="Times New Roman;serif" w:hAnsi="Times New Roman;serif"/>
          <w:b w:val="false"/>
          <w:color w:val="000000"/>
          <w:sz w:val="10"/>
        </w:rPr>
        <w:t>®</w:t>
      </w:r>
      <w:r>
        <w:rPr>
          <w:rFonts w:ascii="Times New Roman;serif" w:hAnsi="Times New Roman;serif"/>
          <w:b w:val="false"/>
          <w:color w:val="000000"/>
          <w:sz w:val="20"/>
        </w:rPr>
        <w:t>, Lockdown</w:t>
      </w:r>
      <w:r>
        <w:rPr>
          <w:rFonts w:ascii="Times New Roman;serif" w:hAnsi="Times New Roman;serif"/>
          <w:b w:val="false"/>
          <w:color w:val="000000"/>
          <w:sz w:val="10"/>
        </w:rPr>
        <w:t>®</w:t>
      </w:r>
      <w:r>
        <w:rPr>
          <w:rFonts w:ascii="Times New Roman;serif" w:hAnsi="Times New Roman;serif"/>
          <w:b w:val="false"/>
          <w:color w:val="000000"/>
          <w:sz w:val="20"/>
        </w:rPr>
        <w:t>, Grilla Grills</w:t>
      </w:r>
      <w:r>
        <w:rPr>
          <w:rFonts w:ascii="Times New Roman;serif" w:hAnsi="Times New Roman;serif"/>
          <w:b w:val="false"/>
          <w:color w:val="000000"/>
          <w:sz w:val="10"/>
        </w:rPr>
        <w:t>®</w:t>
      </w:r>
      <w:r>
        <w:rPr>
          <w:rFonts w:ascii="Times New Roman;serif" w:hAnsi="Times New Roman;serif"/>
          <w:b w:val="false"/>
          <w:color w:val="000000"/>
          <w:sz w:val="20"/>
        </w:rPr>
        <w:t>, Hooyman</w:t>
      </w:r>
      <w:r>
        <w:rPr>
          <w:rFonts w:ascii="Times New Roman;serif" w:hAnsi="Times New Roman;serif"/>
          <w:b w:val="false"/>
          <w:color w:val="000000"/>
          <w:sz w:val="10"/>
        </w:rPr>
        <w:t>®</w:t>
      </w:r>
      <w:r>
        <w:rPr>
          <w:rFonts w:ascii="Times New Roman;serif" w:hAnsi="Times New Roman;serif"/>
          <w:b w:val="false"/>
          <w:color w:val="000000"/>
          <w:sz w:val="20"/>
        </w:rPr>
        <w:t>, BOG</w:t>
      </w:r>
      <w:r>
        <w:rPr>
          <w:rFonts w:ascii="Times New Roman;serif" w:hAnsi="Times New Roman;serif"/>
          <w:b w:val="false"/>
          <w:color w:val="000000"/>
          <w:sz w:val="10"/>
        </w:rPr>
        <w:t>®</w:t>
      </w:r>
      <w:r>
        <w:rPr>
          <w:rFonts w:ascii="Times New Roman;serif" w:hAnsi="Times New Roman;serif"/>
          <w:b w:val="false"/>
          <w:color w:val="000000"/>
          <w:sz w:val="20"/>
        </w:rPr>
        <w:t>, Crimson Trace</w:t>
      </w:r>
      <w:r>
        <w:rPr>
          <w:rFonts w:ascii="Times New Roman;serif" w:hAnsi="Times New Roman;serif"/>
          <w:b w:val="false"/>
          <w:color w:val="000000"/>
          <w:sz w:val="10"/>
        </w:rPr>
        <w:t>®</w:t>
      </w:r>
      <w:r>
        <w:rPr>
          <w:rFonts w:ascii="Times New Roman;serif" w:hAnsi="Times New Roman;serif"/>
          <w:b w:val="false"/>
          <w:color w:val="000000"/>
          <w:sz w:val="20"/>
        </w:rPr>
        <w:t>, Imperial</w:t>
      </w:r>
      <w:r>
        <w:rPr>
          <w:rFonts w:ascii="Times New Roman;serif" w:hAnsi="Times New Roman;serif"/>
          <w:b w:val="false"/>
          <w:color w:val="000000"/>
          <w:sz w:val="10"/>
        </w:rPr>
        <w:t>®</w:t>
      </w:r>
      <w:r>
        <w:rPr>
          <w:rFonts w:ascii="Times New Roman;serif" w:hAnsi="Times New Roman;serif"/>
          <w:b w:val="false"/>
          <w:color w:val="000000"/>
          <w:sz w:val="20"/>
        </w:rPr>
        <w:t>, Schrade</w:t>
      </w:r>
      <w:r>
        <w:rPr>
          <w:rFonts w:ascii="Times New Roman;serif" w:hAnsi="Times New Roman;serif"/>
          <w:b w:val="false"/>
          <w:color w:val="000000"/>
          <w:sz w:val="10"/>
        </w:rPr>
        <w:t>®</w:t>
      </w:r>
      <w:r>
        <w:rPr>
          <w:rFonts w:ascii="Times New Roman;serif" w:hAnsi="Times New Roman;serif"/>
          <w:b w:val="false"/>
          <w:color w:val="000000"/>
          <w:sz w:val="20"/>
        </w:rPr>
        <w:t>, Old Timer</w:t>
      </w:r>
      <w:r>
        <w:rPr>
          <w:rFonts w:ascii="Times New Roman;serif" w:hAnsi="Times New Roman;serif"/>
          <w:b w:val="false"/>
          <w:color w:val="000000"/>
          <w:sz w:val="10"/>
        </w:rPr>
        <w:t>®</w:t>
      </w:r>
      <w:r>
        <w:rPr>
          <w:rFonts w:ascii="Times New Roman;serif" w:hAnsi="Times New Roman;serif"/>
          <w:b w:val="false"/>
          <w:color w:val="000000"/>
          <w:sz w:val="20"/>
        </w:rPr>
        <w:t>, Uncle Henry</w:t>
      </w:r>
      <w:r>
        <w:rPr>
          <w:rFonts w:ascii="Times New Roman;serif" w:hAnsi="Times New Roman;serif"/>
          <w:b w:val="false"/>
          <w:color w:val="000000"/>
          <w:sz w:val="10"/>
        </w:rPr>
        <w:t>®</w:t>
      </w:r>
      <w:r>
        <w:rPr>
          <w:rFonts w:ascii="Times New Roman;serif" w:hAnsi="Times New Roman;serif"/>
          <w:b w:val="false"/>
          <w:color w:val="000000"/>
          <w:sz w:val="20"/>
        </w:rPr>
        <w:t>, BUBBA</w:t>
      </w:r>
      <w:r>
        <w:rPr>
          <w:rFonts w:ascii="Times New Roman;serif" w:hAnsi="Times New Roman;serif"/>
          <w:b w:val="false"/>
          <w:color w:val="000000"/>
          <w:sz w:val="10"/>
        </w:rPr>
        <w:t>®</w:t>
      </w:r>
      <w:r>
        <w:rPr>
          <w:rFonts w:ascii="Times New Roman;serif" w:hAnsi="Times New Roman;serif"/>
          <w:b w:val="false"/>
          <w:color w:val="000000"/>
          <w:sz w:val="20"/>
        </w:rPr>
        <w:t>, MEAT! Your Maker</w:t>
      </w:r>
      <w:r>
        <w:rPr>
          <w:rFonts w:ascii="Times New Roman;serif" w:hAnsi="Times New Roman;serif"/>
          <w:b w:val="false"/>
          <w:color w:val="000000"/>
          <w:sz w:val="10"/>
        </w:rPr>
        <w:t>®</w:t>
      </w:r>
      <w:r>
        <w:rPr>
          <w:rFonts w:ascii="Times New Roman;serif" w:hAnsi="Times New Roman;serif"/>
          <w:b w:val="false"/>
          <w:color w:val="000000"/>
          <w:sz w:val="20"/>
        </w:rPr>
        <w:t>, and ust</w:t>
      </w:r>
      <w:r>
        <w:rPr>
          <w:rFonts w:ascii="Times New Roman;serif" w:hAnsi="Times New Roman;serif"/>
          <w:b w:val="false"/>
          <w:color w:val="000000"/>
          <w:sz w:val="10"/>
        </w:rPr>
        <w:t>®</w:t>
      </w:r>
      <w:r>
        <w:rPr>
          <w:rFonts w:ascii="Times New Roman;serif" w:hAnsi="Times New Roman;serif"/>
          <w:b w:val="false"/>
          <w:color w:val="000000"/>
          <w:sz w:val="20"/>
        </w:rPr>
        <w:t>, and we license for use in association with certain products we sell additional brands, including Smith &amp; Wesson</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Accessories, M&amp;P</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Accessories, and Performance Center Accessories</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20"/>
        </w:rPr>
        <w:t>by Smith &amp; Wesson.</w:t>
      </w:r>
    </w:p>
    <w:p>
      <w:pPr>
        <w:pStyle w:val="TextBody"/>
        <w:bidi w:val="0"/>
        <w:spacing w:before="3"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 copy of the Company’s Conflict Mineral Policy is available on our website at </w:t>
      </w:r>
      <w:r>
        <w:rPr>
          <w:rFonts w:ascii="Times New Roman;serif" w:hAnsi="Times New Roman;serif"/>
          <w:b w:val="false"/>
          <w:i/>
          <w:color w:val="000000"/>
          <w:sz w:val="20"/>
          <w:u w:val="single"/>
        </w:rPr>
        <w:t>https://ir.aob.com/corporate-governance/conflict-minerals</w:t>
      </w:r>
      <w:r>
        <w:rPr>
          <w:rFonts w:ascii="Times New Roman;serif" w:hAnsi="Times New Roman;serif"/>
          <w:b w:val="false"/>
          <w:color w:val="000000"/>
          <w:sz w:val="20"/>
        </w:rPr>
        <w:t>.</w:t>
      </w:r>
    </w:p>
    <w:p>
      <w:pPr>
        <w:pStyle w:val="TextBody"/>
        <w:bidi w:val="0"/>
        <w:spacing w:before="3" w:after="283"/>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w:t>
      </w:r>
    </w:p>
    <w:p>
      <w:pPr>
        <w:pStyle w:val="TextBody"/>
        <w:bidi w:val="0"/>
        <w:spacing w:lineRule="auto" w:line="288" w:before="81" w:after="283"/>
        <w:jc w:val="both"/>
        <w:rPr>
          <w:rFonts w:ascii="Times New Roman;serif" w:hAnsi="Times New Roman;serif"/>
          <w:b w:val="false"/>
          <w:color w:val="000000"/>
          <w:sz w:val="20"/>
        </w:rPr>
      </w:pPr>
      <w:r>
        <w:rPr>
          <w:rFonts w:ascii="Times New Roman;serif" w:hAnsi="Times New Roman;serif"/>
          <w:b w:val="false"/>
          <w:color w:val="000000"/>
          <w:sz w:val="20"/>
        </w:rPr>
        <w:t>This Conflict Minerals Report is provided for the reporting period January 1, 2025 to December 31, 2025 in accordance with the Rule, the instructions to Form SD, and the SEC Statement. Please refer to the Rule, Form SD and Securities Exchange Release No. 34-67716 for definitions to the terms used in this Report, unless otherwise defined herein.</w:t>
      </w:r>
    </w:p>
    <w:p>
      <w:pPr>
        <w:pStyle w:val="TextBody"/>
        <w:bidi w:val="0"/>
        <w:spacing w:lineRule="auto" w:line="288" w:before="81"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Rule and the instructions to Form SD, AOB undertook due diligence to determine the source of origin of any necessary conflict minerals used in products it manufactures or contracts to manufacture. In conducting its due diligence, AOB implemented the Organization for Economic Co-operation and Development Due Diligence Guidance for Responsible Supply Chains of Minerals from Conflict-Affected and High-Risk Areas (including the Supplements on Tin, Tantalum and Tungsten, and the Gold Supplement) (Second Edition OECD 2013) (“OECD Guidance”), an internationally recognized due diligence framework.</w:t>
      </w:r>
    </w:p>
    <w:p>
      <w:pPr>
        <w:pStyle w:val="TextBody"/>
        <w:bidi w:val="0"/>
        <w:spacing w:lineRule="auto" w:line="288" w:before="84"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Design of Our Due Diligence Measures</w:t>
      </w:r>
    </w:p>
    <w:p>
      <w:pPr>
        <w:pStyle w:val="TextBody"/>
        <w:bidi w:val="0"/>
        <w:spacing w:lineRule="auto" w:line="288" w:before="81" w:after="283"/>
        <w:jc w:val="both"/>
        <w:rPr>
          <w:rFonts w:ascii="Times New Roman;serif" w:hAnsi="Times New Roman;serif"/>
          <w:b w:val="false"/>
          <w:color w:val="000000"/>
          <w:sz w:val="20"/>
        </w:rPr>
      </w:pPr>
      <w:r>
        <w:rPr>
          <w:rFonts w:ascii="Times New Roman;serif" w:hAnsi="Times New Roman;serif"/>
          <w:b w:val="false"/>
          <w:color w:val="000000"/>
          <w:sz w:val="20"/>
        </w:rPr>
        <w:t>Our conflict minerals due diligence measures have been designed to conform with the OECD Guidance, as applicable, for tin, tantalum, tungsten, gold and downstream companies (as the term is defined in the OECD Guidance), in all material respects. The Company does not make direct purchases of raw ore or unrefined conflict minerals in the Covered Countries. We designed our due diligence measures to:</w:t>
      </w:r>
    </w:p>
    <w:p>
      <w:pPr>
        <w:pStyle w:val="TextBody"/>
        <w:bidi w:val="0"/>
        <w:spacing w:lineRule="auto" w:line="288" w:before="93" w:after="283"/>
        <w:jc w:val="left"/>
        <w:rPr>
          <w:rFonts w:ascii="Times New Roman;serif" w:hAnsi="Times New Roman;serif"/>
          <w:b w:val="false"/>
          <w:color w:val="000000"/>
          <w:sz w:val="20"/>
        </w:rPr>
      </w:pPr>
      <w:r>
        <w:rPr>
          <w:rFonts w:ascii="Times New Roman;serif" w:hAnsi="Times New Roman;serif"/>
          <w:b w:val="false"/>
          <w:color w:val="000000"/>
          <w:sz w:val="20"/>
        </w:rPr>
        <w:t>1.    design and implement strategies to determine the presence of conflict minerals in our products;</w:t>
      </w:r>
    </w:p>
    <w:p>
      <w:pPr>
        <w:pStyle w:val="TextBody"/>
        <w:bidi w:val="0"/>
        <w:spacing w:lineRule="auto" w:line="288" w:before="93" w:after="283"/>
        <w:jc w:val="left"/>
        <w:rPr>
          <w:rFonts w:ascii="Times New Roman;serif" w:hAnsi="Times New Roman;serif"/>
          <w:b w:val="false"/>
          <w:color w:val="000000"/>
          <w:sz w:val="20"/>
        </w:rPr>
      </w:pPr>
      <w:r>
        <w:rPr>
          <w:rFonts w:ascii="Times New Roman;serif" w:hAnsi="Times New Roman;serif"/>
          <w:b w:val="false"/>
          <w:color w:val="000000"/>
          <w:sz w:val="20"/>
        </w:rPr>
        <w:t>2.    establish management systems for supply chain due diligence and reporting compliance;</w:t>
      </w:r>
    </w:p>
    <w:p>
      <w:pPr>
        <w:pStyle w:val="TextBody"/>
        <w:bidi w:val="0"/>
        <w:spacing w:lineRule="auto" w:line="288" w:before="93" w:after="283"/>
        <w:jc w:val="left"/>
        <w:rPr>
          <w:rFonts w:ascii="Times New Roman;serif" w:hAnsi="Times New Roman;serif"/>
          <w:b w:val="false"/>
          <w:color w:val="000000"/>
          <w:sz w:val="20"/>
        </w:rPr>
      </w:pPr>
      <w:r>
        <w:rPr>
          <w:rFonts w:ascii="Times New Roman;serif" w:hAnsi="Times New Roman;serif"/>
          <w:b w:val="false"/>
          <w:color w:val="000000"/>
          <w:sz w:val="20"/>
        </w:rPr>
        <w:t>3.    identify and assess conflict minerals content in our supply chain;</w:t>
      </w:r>
    </w:p>
    <w:p>
      <w:pPr>
        <w:pStyle w:val="TextBody"/>
        <w:bidi w:val="0"/>
        <w:spacing w:lineRule="auto" w:line="288" w:before="93" w:after="283"/>
        <w:jc w:val="left"/>
        <w:rPr>
          <w:rFonts w:ascii="Times New Roman;serif" w:hAnsi="Times New Roman;serif"/>
          <w:b w:val="false"/>
          <w:color w:val="000000"/>
          <w:sz w:val="20"/>
        </w:rPr>
      </w:pPr>
      <w:r>
        <w:rPr>
          <w:rFonts w:ascii="Times New Roman;serif" w:hAnsi="Times New Roman;serif"/>
          <w:b w:val="false"/>
          <w:color w:val="000000"/>
          <w:sz w:val="20"/>
        </w:rPr>
        <w:t>4.    identify and mitigate any risk for potential non-compliance with the Rule; and</w:t>
      </w:r>
    </w:p>
    <w:p>
      <w:pPr>
        <w:pStyle w:val="TextBody"/>
        <w:bidi w:val="0"/>
        <w:spacing w:lineRule="auto" w:line="288" w:before="93" w:after="283"/>
        <w:jc w:val="left"/>
        <w:rPr>
          <w:rFonts w:ascii="Times New Roman;serif" w:hAnsi="Times New Roman;serif"/>
          <w:b w:val="false"/>
          <w:color w:val="000000"/>
          <w:sz w:val="20"/>
        </w:rPr>
      </w:pPr>
      <w:r>
        <w:rPr>
          <w:rFonts w:ascii="Times New Roman;serif" w:hAnsi="Times New Roman;serif"/>
          <w:b w:val="false"/>
          <w:color w:val="000000"/>
          <w:sz w:val="20"/>
        </w:rPr>
        <w:t>5.    report on our conflict minerals supply chain due diligence activities, as required by the Rule.</w:t>
      </w:r>
    </w:p>
    <w:p>
      <w:pPr>
        <w:pStyle w:val="TextBody"/>
        <w:bidi w:val="0"/>
        <w:spacing w:before="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Due Diligence Measures Performed</w:t>
      </w:r>
    </w:p>
    <w:p>
      <w:pPr>
        <w:pStyle w:val="TextBody"/>
        <w:bidi w:val="0"/>
        <w:spacing w:lineRule="auto" w:line="288" w:before="81" w:after="283"/>
        <w:jc w:val="both"/>
        <w:rPr>
          <w:rFonts w:ascii="Times New Roman;serif" w:hAnsi="Times New Roman;serif"/>
          <w:b w:val="false"/>
          <w:color w:val="000000"/>
          <w:sz w:val="20"/>
        </w:rPr>
      </w:pPr>
      <w:r>
        <w:rPr>
          <w:rFonts w:ascii="Times New Roman;serif" w:hAnsi="Times New Roman;serif"/>
          <w:b w:val="false"/>
          <w:color w:val="000000"/>
          <w:sz w:val="20"/>
        </w:rPr>
        <w:t>Our due diligence measures for the reporting period January 1, 2025 to December 31, 2025 included the following activities:</w:t>
      </w:r>
    </w:p>
    <w:p>
      <w:pPr>
        <w:pStyle w:val="TextBody"/>
        <w:bidi w:val="0"/>
        <w:spacing w:lineRule="auto" w:line="288" w:before="93" w:after="283"/>
        <w:ind w:left="0" w:right="0" w:hanging="551"/>
        <w:jc w:val="both"/>
        <w:rPr>
          <w:rFonts w:ascii="Times New Roman;serif" w:hAnsi="Times New Roman;serif"/>
          <w:b w:val="false"/>
          <w:color w:val="000000"/>
          <w:sz w:val="20"/>
        </w:rPr>
      </w:pPr>
      <w:r>
        <w:rPr>
          <w:rFonts w:ascii="Times New Roman;serif" w:hAnsi="Times New Roman;serif"/>
          <w:b w:val="false"/>
          <w:color w:val="000000"/>
          <w:sz w:val="20"/>
        </w:rPr>
        <w:t>1.    We updated our product taxonomy for the products that were subject to reporting in the 2025 reporting period, and reviewed additions with company product managers, engineers, metallurgists and supply chain personnel, to determine which products or components have the possibility of containing necessary conflict minerals.</w:t>
      </w:r>
    </w:p>
    <w:p>
      <w:pPr>
        <w:pStyle w:val="TextBody"/>
        <w:bidi w:val="0"/>
        <w:spacing w:lineRule="auto" w:line="288" w:before="93" w:after="283"/>
        <w:ind w:left="0" w:right="0" w:hanging="551"/>
        <w:jc w:val="both"/>
        <w:rPr>
          <w:rFonts w:ascii="Times New Roman;serif" w:hAnsi="Times New Roman;serif"/>
          <w:b w:val="false"/>
          <w:color w:val="000000"/>
          <w:sz w:val="20"/>
        </w:rPr>
      </w:pPr>
      <w:r>
        <w:rPr>
          <w:rFonts w:ascii="Times New Roman;serif" w:hAnsi="Times New Roman;serif"/>
          <w:b w:val="false"/>
          <w:color w:val="000000"/>
          <w:sz w:val="20"/>
        </w:rPr>
        <w:t>2.    We surveyed any suppliers involved with products or components we determined could possibly contain necessary conflict minerals, to ascertain for each of these conflict minerals (i) whether the product or component contained necessary conflict minerals, (ii) the smelter or refiner where it was processed, (iii) its country of origin, and (iv) its mine of origin.</w:t>
      </w:r>
    </w:p>
    <w:p>
      <w:pPr>
        <w:pStyle w:val="TextBody"/>
        <w:bidi w:val="0"/>
        <w:spacing w:lineRule="auto" w:line="288" w:before="93" w:after="283"/>
        <w:ind w:left="0" w:right="0" w:hanging="551"/>
        <w:jc w:val="both"/>
        <w:rPr/>
      </w:pPr>
      <w:r>
        <w:rPr>
          <w:rFonts w:ascii="Times New Roman;serif" w:hAnsi="Times New Roman;serif"/>
          <w:b w:val="false"/>
          <w:color w:val="000000"/>
          <w:sz w:val="20"/>
        </w:rPr>
        <w:t>3.    We leveraged the due diligence conducted on smelters and refiners by the Responsible Minerals Initiative (the “</w:t>
      </w:r>
      <w:r>
        <w:rPr>
          <w:rFonts w:ascii="Times New Roman;serif" w:hAnsi="Times New Roman;serif"/>
          <w:b/>
          <w:color w:val="000000"/>
          <w:sz w:val="20"/>
        </w:rPr>
        <w:t>RMI</w:t>
      </w:r>
      <w:r>
        <w:rPr>
          <w:color w:val="000000"/>
        </w:rPr>
        <w:t>”</w:t>
      </w:r>
      <w:r>
        <w:rPr>
          <w:rFonts w:ascii="Times New Roman;serif" w:hAnsi="Times New Roman;serif"/>
          <w:b w:val="false"/>
          <w:color w:val="000000"/>
          <w:sz w:val="20"/>
        </w:rPr>
        <w:t>), and its Responsible Minerals Assurance Process (the “</w:t>
      </w:r>
      <w:r>
        <w:rPr>
          <w:rFonts w:ascii="Times New Roman;serif" w:hAnsi="Times New Roman;serif"/>
          <w:b/>
          <w:color w:val="000000"/>
          <w:sz w:val="20"/>
        </w:rPr>
        <w:t>RMAP</w:t>
      </w:r>
      <w:r>
        <w:rPr>
          <w:color w:val="000000"/>
        </w:rPr>
        <w:t>”</w:t>
      </w:r>
      <w:r>
        <w:rPr>
          <w:rFonts w:ascii="Times New Roman;serif" w:hAnsi="Times New Roman;serif"/>
          <w:b w:val="false"/>
          <w:color w:val="000000"/>
          <w:sz w:val="20"/>
        </w:rPr>
        <w:t xml:space="preserve">), by comparing the names of the smelters identified by our suppliers to those identified as compliant in the RMAP. The RMAP uses independent private sector auditors to audit the source, including mines of origin, and chain of custody of the conflict minerals used by smelters and refiners that agree to participate in the RMAP. The smelters and refiners that are found to be RMAP compliant are those for which the independent auditor has verified that the smelter’s or refiner’s conflict minerals originated from conflict free mines and trading in the Democratic Republic of the Congo or any of its adjoining countries. A list of smelters identified to date, and associated information, is provided hereto as </w:t>
      </w:r>
      <w:r>
        <w:rPr>
          <w:rFonts w:ascii="Times New Roman;serif" w:hAnsi="Times New Roman;serif"/>
          <w:b/>
          <w:color w:val="000000"/>
          <w:sz w:val="20"/>
        </w:rPr>
        <w:t>Attachment A</w:t>
      </w:r>
      <w:r>
        <w:rPr>
          <w:rFonts w:ascii="Times New Roman;serif" w:hAnsi="Times New Roman;serif"/>
          <w:b w:val="false"/>
          <w:color w:val="000000"/>
          <w:sz w:val="20"/>
        </w:rPr>
        <w:t>.</w:t>
      </w:r>
    </w:p>
    <w:p>
      <w:pPr>
        <w:pStyle w:val="TextBody"/>
        <w:bidi w:val="0"/>
        <w:spacing w:before="1" w:after="283"/>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After conducting good faith due diligence on the presence of necessary conflict minerals in certain of the Company’s products, AOB has been unable to identify all smelters, refiners in its supply chain and the ultimate source of origin of such minerals. The Company is continuing its efforts to identify and mitigate risks in its supply chain and to obtain complete information from its upstream suppliers. The Company’s efforts are necessarily dependent upon the willingness of its supply chain participants to cooperate and assist in this endeavour and there can be no guarantee that the Company will be able to obtain adequate and reliable information upon which to base its analysis.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Attachment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SMELTER DETAILS</w:t>
      </w:r>
    </w:p>
    <w:p>
      <w:pPr>
        <w:pStyle w:val="TextBody"/>
        <w:bidi w:val="0"/>
        <w:spacing w:before="0" w:after="0"/>
        <w:jc w:val="center"/>
        <w:rPr/>
      </w:pPr>
      <w:r>
        <w:rPr/>
      </w:r>
    </w:p>
    <w:tbl>
      <w:tblPr>
        <w:tblW w:w="7500" w:type="dxa"/>
        <w:jc w:val="left"/>
        <w:tblInd w:w="0" w:type="dxa"/>
        <w:tblLayout w:type="fixed"/>
        <w:tblCellMar>
          <w:top w:w="28" w:type="dxa"/>
          <w:left w:w="28" w:type="dxa"/>
          <w:bottom w:w="28" w:type="dxa"/>
          <w:right w:w="28" w:type="dxa"/>
        </w:tblCellMar>
      </w:tblPr>
      <w:tblGrid>
        <w:gridCol w:w="1855"/>
        <w:gridCol w:w="1631"/>
        <w:gridCol w:w="1644"/>
        <w:gridCol w:w="479"/>
        <w:gridCol w:w="479"/>
        <w:gridCol w:w="481"/>
        <w:gridCol w:w="271"/>
        <w:gridCol w:w="271"/>
        <w:gridCol w:w="389"/>
      </w:tblGrid>
      <w:tr>
        <w:trPr/>
        <w:tc>
          <w:tcPr>
            <w:tcW w:w="185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Smelter Name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Smelter Country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3TG</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A.L.M.T. Corp.</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Abington Reldan Metals, LLC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Advanced Chemical Company</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Agosi AG</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Aida Chemical Industries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Alpha Assembly Solutions Inc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Brasil</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Argor-Heraeus S.A.</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Asahi Metalfine, Inc.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Asahi Refining Canada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Asahi Refining USA Inc.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Asaka Riken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Tungsten Products Vietnam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Viet Nam</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Aurubis AG</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Aurubis Beerse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Belgium</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Aurubis Berango</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Spain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Bangko Sentral ng Pilipinas (Central Bank of the Philippines)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Boliden Mineral AB (Ronnskar)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Sweden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Hafner GmbH + Co. KG</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Chenzhou Yunxiang Mining and Metallurgy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Chimet S.p.A.</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Italy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China Molybdenum Tungsten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China Tin Group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Chongyi Zhangyuan Tungsten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CV Ayi Jaya</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Block Metals, LLC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Eco-System Recycling Co., Ltd. East Plant</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 Vinto</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Bolivia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F&amp;X Electro-Materials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Fenix Metals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Poland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 Metals &amp; Resource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Ganzhou Seadragon W &amp; Mo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Gejiu Kai Meng Industry and Trade LLC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Gejiu Non-Ferrous Metal Processing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Glencore Canada Corporation – CCR Refinery</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Advanced Metals Aizu</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Advanced Metals Boyertown</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Tungsten &amp; Powders LLC</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Gold Corporation – The Perth Mint</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Australia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Guangdong Hanhe Non-Ferrous Metal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Guangdong Rising Rare Metals-EO Materials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Guangdong Xianglu Tungsten Co., Ltd.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70" w:type="dxa"/>
        <w:jc w:val="left"/>
        <w:tblInd w:w="0" w:type="dxa"/>
        <w:tblLayout w:type="fixed"/>
        <w:tblCellMar>
          <w:top w:w="28" w:type="dxa"/>
          <w:left w:w="28" w:type="dxa"/>
          <w:bottom w:w="28" w:type="dxa"/>
          <w:right w:w="28" w:type="dxa"/>
        </w:tblCellMar>
      </w:tblPr>
      <w:tblGrid>
        <w:gridCol w:w="2555"/>
        <w:gridCol w:w="2243"/>
        <w:gridCol w:w="2251"/>
        <w:gridCol w:w="529"/>
        <w:gridCol w:w="529"/>
        <w:gridCol w:w="532"/>
        <w:gridCol w:w="272"/>
        <w:gridCol w:w="272"/>
        <w:gridCol w:w="387"/>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H.C. Starck Tungsten GmbH</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Heimerle + Meule GmbH</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Hengyang King Xing Lifeng New Materials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Heraeus Germany GmbH Co. KG</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Heraeus Metals Hong Kong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Hunan Jintai New Material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Hunan Shizhuyuan Nonferrous Metals Co., Ltd. Chenzhou Tungsten Products Branch</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Ishifuku Metal Industry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Istanbul Gold Refinery</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Turkey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Japan New Metals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Jiangwu H.C. Starck Tungsten Products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Jiangxi Copper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JiuJiang JinXin Nonferrous Metals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Jiujiang Tanbre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Jiujiang Zhongao Tantalum &amp; Niobium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JX Advanced Metals Corporation</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Huntsville</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Kennecott Utah Copper LLC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Kojima Chemicals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LS MnM Inc.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Magnu's Minerais Metais e Ligas Ltda.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Malaysia Smelting Corporation (MSC)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Malaysia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Masan High-Tech Materials</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Viet Nam</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Materion</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Materion Newton Inc.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Matsuda Sangyo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Melt Metais e Ligas S.A.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Metallic Resources, Inc.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Metalor Technologies (Hong Kong)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Metalor Technologies (Singapore) Pte.,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Singapore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Metalor Technologies (Suzhou)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Metalor Technologies S.A.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Metalor USA Refining Corporation</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Metalurgica Met-Mex Penoles S.A. De C.V.</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Mexico</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Mineracao Taboca S.A.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Mineracao Taboca S.A.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Minsur</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Peru</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MKS Pamp SA</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Nadir Metal Rafineri San. Ve Tic. A.S.</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Turkey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Niagara Refining LLC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Nihon Material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Ningxia Orient Tantalum Industry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 Manufacturing (Thailand)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Thailand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 Manufacturing Philippines, Inc.</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Ohura Precious Metal Industry Co., Ltd.</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95" w:type="dxa"/>
        <w:jc w:val="left"/>
        <w:tblInd w:w="0" w:type="dxa"/>
        <w:tblLayout w:type="fixed"/>
        <w:tblCellMar>
          <w:top w:w="28" w:type="dxa"/>
          <w:left w:w="28" w:type="dxa"/>
          <w:bottom w:w="28" w:type="dxa"/>
          <w:right w:w="28" w:type="dxa"/>
        </w:tblCellMar>
      </w:tblPr>
      <w:tblGrid>
        <w:gridCol w:w="1699"/>
        <w:gridCol w:w="1485"/>
        <w:gridCol w:w="1496"/>
        <w:gridCol w:w="392"/>
        <w:gridCol w:w="392"/>
        <w:gridCol w:w="400"/>
        <w:gridCol w:w="269"/>
        <w:gridCol w:w="269"/>
        <w:gridCol w:w="393"/>
      </w:tblGrid>
      <w:tr>
        <w:trPr/>
        <w:tc>
          <w:tcPr>
            <w:tcW w:w="169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Operaciones Metalurgicas S.A.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Bolivia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Aneka Tambang (Persero) Tbk</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Artha Cipta Langgeng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ATD Makmur Mandiri Jaya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Bangka Prima Tin</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Mitra Stania Prima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Panca Mega Persada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Premium Tin Indonesia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Prima Timah Utama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Timah Tbk Kundur</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Timah Tbk Mentok</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Indonesia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PX Precinox S.A.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Rand Refinery (Pty)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Royal Canadian Mint</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Rui Da Hung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Taiwan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SEMPSA Joyeria Plateria S.A.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Spain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Shandong Gold Smelting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Shandong Zhaojin Gold &amp; Silver Refinery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Solar Applied Materials Technology Corp.</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Taiwan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Sumitomo Metal Mining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Taki Chemical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Tanaka Kikinzoku Kogyo K.K.</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TANIOBIS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Thailand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TANIOBIS GmbH</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TANIOBIS Japan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TANIOBIS Smelting GmbH &amp; Co. KG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TANIOBIS Smelting GmbH &amp; Co. KG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Telex Metals</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Thaisarco</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Thailand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Tin Smelting Branch of Yunnan Tin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Tokuriki Honten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Ulba Metallurgical Plant JSC</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Kazakhstan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Umicore Precious Metals Thailand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Thailand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Umicore S.A. Business Unit Precious Metals Refining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Belgium</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Precious Metal Refining, Inc.</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Valcambi S.A.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Solder Metalurgia e Mineracao Ltda.</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Wolfram Bergbau und Hutten AG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Austria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Xiamen Tungsten (H.C.)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Xiamen Tungsten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Tungsten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XIMEI RESOURCES (GUANGDONG) LIMITED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Tantalum</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Yamakin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Yokohama Metal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Yunnan Chengfeng Non-ferrous Metals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Tin</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Zhongyuan Gold Smelter of Zhongjin Gold Corporation</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Zijin Mining Group Gold Smelting Co. Ltd.</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Gold</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2315</Words>
  <Characters>13065</Characters>
  <CharactersWithSpaces>14935</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