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No. 001-39366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80"/>
        <w:jc w:val="center"/>
        <w:rPr/>
      </w:pPr>
      <w:r>
        <w:rPr/>
        <w:drawing>
          <wp:inline distT="0" distB="0" distL="0" distR="0">
            <wp:extent cx="25812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12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American Outdoor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84-4630928</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left"/>
        <w:tblInd w:w="0" w:type="dxa"/>
        <w:tblLayout w:type="fixed"/>
        <w:tblCellMar>
          <w:top w:w="28" w:type="dxa"/>
          <w:left w:w="28" w:type="dxa"/>
          <w:bottom w:w="28" w:type="dxa"/>
          <w:right w:w="28" w:type="dxa"/>
        </w:tblCellMar>
      </w:tblPr>
      <w:tblGrid>
        <w:gridCol w:w="1058"/>
        <w:gridCol w:w="930"/>
        <w:gridCol w:w="936"/>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 North Route Z</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Columbia, 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338-9585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8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1139"/>
        <w:gridCol w:w="1003"/>
        <w:gridCol w:w="1007"/>
        <w:gridCol w:w="474"/>
        <w:gridCol w:w="474"/>
        <w:gridCol w:w="476"/>
        <w:gridCol w:w="962"/>
        <w:gridCol w:w="962"/>
        <w:gridCol w:w="1361"/>
      </w:tblGrid>
      <w:tr>
        <w:trPr/>
        <w:tc>
          <w:tcPr>
            <w:tcW w:w="11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AOUT</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80"/>
        <w:ind w:left="0" w:right="0" w:firstLine="12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80"/>
        <w:ind w:left="0" w:right="0" w:firstLine="12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8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firstLine="12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80"/>
        <w:ind w:left="0" w:right="0" w:firstLine="126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0" w:after="12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The registrant had 12,621,225 shares of common stock, par value $0.001, outstanding as of August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AMERICAN OUTDOOR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16" w:type="dxa"/>
        <w:jc w:val="left"/>
        <w:tblInd w:w="0" w:type="dxa"/>
        <w:tblLayout w:type="fixed"/>
        <w:tblCellMar>
          <w:top w:w="28" w:type="dxa"/>
          <w:left w:w="28" w:type="dxa"/>
          <w:bottom w:w="28" w:type="dxa"/>
          <w:right w:w="28" w:type="dxa"/>
        </w:tblCellMar>
      </w:tblPr>
      <w:tblGrid>
        <w:gridCol w:w="641"/>
        <w:gridCol w:w="562"/>
        <w:gridCol w:w="562"/>
        <w:gridCol w:w="2642"/>
        <w:gridCol w:w="2642"/>
        <w:gridCol w:w="2695"/>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3">
              <w:r>
                <w:rPr>
                  <w:rStyle w:val="InternetLink"/>
                  <w:rFonts w:ascii="Times New Roman;serif" w:hAnsi="Times New Roman;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6">
              <w:r>
                <w:rPr>
                  <w:rStyle w:val="InternetLink"/>
                  <w:rFonts w:ascii="Times New Roman;serif" w:hAnsi="Times New Roman;serif"/>
                  <w:b w:val="false"/>
                  <w:color w:val="000000"/>
                  <w:sz w:val="20"/>
                  <w:u w:val="single"/>
                </w:rPr>
                <w:t>Item 1.</w:t>
              </w:r>
            </w:hyperlink>
            <w:hyperlink w:anchor="i9be42240d22b4c28a311a09376cbecb5_16">
              <w:r>
                <w:rPr>
                  <w:rStyle w:val="InternetLink"/>
                  <w:color w:val="0000FF"/>
                  <w:u w:val="single"/>
                </w:rPr>
                <w:t xml:space="preserve"> </w:t>
              </w:r>
            </w:hyperlink>
            <w:hyperlink w:anchor="i9be42240d22b4c28a311a09376cbecb5_16">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6">
              <w:r>
                <w:rPr>
                  <w:rStyle w:val="InternetLink"/>
                  <w:rFonts w:ascii="Times New Roman;serif" w:hAnsi="Times New Roman;serif"/>
                  <w:b w:val="false"/>
                  <w:strike w:val="false"/>
                  <w:dstrike w:val="false"/>
                  <w:color w:val="000000"/>
                  <w:sz w:val="20"/>
                  <w:u w:val="none"/>
                  <w:effect w:val="none"/>
                </w:rPr>
                <w:t>5</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76">
              <w:r>
                <w:rPr>
                  <w:rStyle w:val="InternetLink"/>
                  <w:rFonts w:ascii="Times New Roman;serif" w:hAnsi="Times New Roman;serif"/>
                  <w:b w:val="false"/>
                  <w:color w:val="000000"/>
                  <w:sz w:val="20"/>
                  <w:u w:val="single"/>
                </w:rPr>
                <w:t>Item 2.</w:t>
              </w:r>
            </w:hyperlink>
            <w:hyperlink w:anchor="i9be42240d22b4c28a311a09376cbecb5_76">
              <w:r>
                <w:rPr>
                  <w:rStyle w:val="InternetLink"/>
                  <w:color w:val="0000FF"/>
                  <w:u w:val="single"/>
                </w:rPr>
                <w:t xml:space="preserve"> </w:t>
              </w:r>
            </w:hyperlink>
            <w:hyperlink w:anchor="i9be42240d22b4c28a311a09376cbecb5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76">
              <w:r>
                <w:rPr>
                  <w:rStyle w:val="InternetLink"/>
                  <w:rFonts w:ascii="Times New Roman;serif" w:hAnsi="Times New Roman;serif"/>
                  <w:b w:val="false"/>
                  <w:strike w:val="false"/>
                  <w:dstrike w:val="false"/>
                  <w:color w:val="000000"/>
                  <w:sz w:val="20"/>
                  <w:u w:val="none"/>
                  <w:effect w:val="none"/>
                </w:rPr>
                <w:t>21</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97">
              <w:r>
                <w:rPr>
                  <w:rStyle w:val="InternetLink"/>
                  <w:rFonts w:ascii="Times New Roman;serif" w:hAnsi="Times New Roman;serif"/>
                  <w:b w:val="false"/>
                  <w:color w:val="000000"/>
                  <w:sz w:val="20"/>
                  <w:u w:val="single"/>
                </w:rPr>
                <w:t xml:space="preserve">Item 3. </w:t>
              </w:r>
            </w:hyperlink>
            <w:hyperlink w:anchor="i9be42240d22b4c28a311a09376cbecb5_97">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97">
              <w:r>
                <w:rPr>
                  <w:rStyle w:val="InternetLink"/>
                  <w:rFonts w:ascii="Times New Roman;serif" w:hAnsi="Times New Roman;serif"/>
                  <w:b w:val="false"/>
                  <w:strike w:val="false"/>
                  <w:dstrike w:val="false"/>
                  <w:color w:val="000000"/>
                  <w:sz w:val="20"/>
                  <w:u w:val="none"/>
                  <w:effect w:val="none"/>
                </w:rPr>
                <w:t>26</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00">
              <w:r>
                <w:rPr>
                  <w:rStyle w:val="InternetLink"/>
                  <w:rFonts w:ascii="Times New Roman;serif" w:hAnsi="Times New Roman;serif"/>
                  <w:b w:val="false"/>
                  <w:color w:val="000000"/>
                  <w:sz w:val="20"/>
                  <w:u w:val="single"/>
                </w:rPr>
                <w:t xml:space="preserve">Item 4. </w:t>
              </w:r>
            </w:hyperlink>
            <w:hyperlink w:anchor="i9be42240d22b4c28a311a09376cbecb5_100">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00">
              <w:r>
                <w:rPr>
                  <w:rStyle w:val="InternetLink"/>
                  <w:rFonts w:ascii="Times New Roman;serif" w:hAnsi="Times New Roman;serif"/>
                  <w:b w:val="false"/>
                  <w:strike w:val="false"/>
                  <w:dstrike w:val="false"/>
                  <w:color w:val="000000"/>
                  <w:sz w:val="20"/>
                  <w:u w:val="none"/>
                  <w:effect w:val="none"/>
                </w:rPr>
                <w:t>26</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03">
              <w:r>
                <w:rPr>
                  <w:rStyle w:val="InternetLink"/>
                  <w:rFonts w:ascii="Times New Roman;serif" w:hAnsi="Times New Roman;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06">
              <w:r>
                <w:rPr>
                  <w:rStyle w:val="InternetLink"/>
                  <w:rFonts w:ascii="Times New Roman;serif" w:hAnsi="Times New Roman;serif"/>
                  <w:b w:val="false"/>
                  <w:color w:val="000000"/>
                  <w:sz w:val="20"/>
                  <w:u w:val="single"/>
                </w:rPr>
                <w:t>Item 1.</w:t>
              </w:r>
            </w:hyperlink>
            <w:hyperlink w:anchor="i9be42240d22b4c28a311a09376cbecb5_106">
              <w:r>
                <w:rPr>
                  <w:rStyle w:val="InternetLink"/>
                  <w:color w:val="0000FF"/>
                  <w:u w:val="single"/>
                </w:rPr>
                <w:t xml:space="preserve"> </w:t>
              </w:r>
            </w:hyperlink>
            <w:hyperlink w:anchor="i9be42240d22b4c28a311a09376cbecb5_106">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06">
              <w:r>
                <w:rPr>
                  <w:rStyle w:val="InternetLink"/>
                  <w:rFonts w:ascii="Times New Roman;serif" w:hAnsi="Times New Roman;serif"/>
                  <w:b w:val="false"/>
                  <w:strike w:val="false"/>
                  <w:dstrike w:val="false"/>
                  <w:color w:val="000000"/>
                  <w:sz w:val="20"/>
                  <w:u w:val="none"/>
                  <w:effect w:val="none"/>
                </w:rPr>
                <w:t>28</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09">
              <w:r>
                <w:rPr>
                  <w:rStyle w:val="InternetLink"/>
                  <w:rFonts w:ascii="Times New Roman;serif" w:hAnsi="Times New Roman;serif"/>
                  <w:b w:val="false"/>
                  <w:color w:val="000000"/>
                  <w:sz w:val="20"/>
                  <w:u w:val="single"/>
                </w:rPr>
                <w:t>Item 1A.</w:t>
              </w:r>
            </w:hyperlink>
            <w:hyperlink w:anchor="i9be42240d22b4c28a311a09376cbecb5_109">
              <w:r>
                <w:rPr>
                  <w:rStyle w:val="InternetLink"/>
                  <w:color w:val="0000FF"/>
                  <w:u w:val="single"/>
                </w:rPr>
                <w:t xml:space="preserve"> </w:t>
              </w:r>
            </w:hyperlink>
            <w:hyperlink w:anchor="i9be42240d22b4c28a311a09376cbecb5_109">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09">
              <w:r>
                <w:rPr>
                  <w:rStyle w:val="InternetLink"/>
                  <w:rFonts w:ascii="Times New Roman;serif" w:hAnsi="Times New Roman;serif"/>
                  <w:b w:val="false"/>
                  <w:strike w:val="false"/>
                  <w:dstrike w:val="false"/>
                  <w:color w:val="000000"/>
                  <w:sz w:val="20"/>
                  <w:u w:val="none"/>
                  <w:effect w:val="none"/>
                </w:rPr>
                <w:t>28</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12">
              <w:r>
                <w:rPr>
                  <w:rStyle w:val="InternetLink"/>
                  <w:rFonts w:ascii="Times New Roman;serif" w:hAnsi="Times New Roman;serif"/>
                  <w:b w:val="false"/>
                  <w:color w:val="000000"/>
                  <w:sz w:val="20"/>
                  <w:u w:val="single"/>
                </w:rPr>
                <w:t>Item 2.</w:t>
              </w:r>
            </w:hyperlink>
            <w:hyperlink w:anchor="i9be42240d22b4c28a311a09376cbecb5_112">
              <w:r>
                <w:rPr>
                  <w:rStyle w:val="InternetLink"/>
                  <w:color w:val="0000FF"/>
                  <w:u w:val="single"/>
                </w:rPr>
                <w:t xml:space="preserve"> </w:t>
              </w:r>
            </w:hyperlink>
            <w:hyperlink w:anchor="i9be42240d22b4c28a311a09376cbecb5_112">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12">
              <w:r>
                <w:rPr>
                  <w:rStyle w:val="InternetLink"/>
                  <w:rFonts w:ascii="Times New Roman;serif" w:hAnsi="Times New Roman;serif"/>
                  <w:b w:val="false"/>
                  <w:strike w:val="false"/>
                  <w:dstrike w:val="false"/>
                  <w:color w:val="000000"/>
                  <w:sz w:val="20"/>
                  <w:u w:val="none"/>
                  <w:effect w:val="none"/>
                </w:rPr>
                <w:t>28</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15">
              <w:r>
                <w:rPr>
                  <w:rStyle w:val="InternetLink"/>
                  <w:rFonts w:ascii="Times New Roman;serif" w:hAnsi="Times New Roman;serif"/>
                  <w:b w:val="false"/>
                  <w:strike w:val="false"/>
                  <w:dstrike w:val="false"/>
                  <w:color w:val="000000"/>
                  <w:sz w:val="20"/>
                  <w:u w:val="none"/>
                  <w:effect w:val="none"/>
                </w:rPr>
                <w:t xml:space="preserve">Item 5. </w:t>
              </w:r>
            </w:hyperlink>
            <w:hyperlink w:anchor="i9be42240d22b4c28a311a09376cbecb5_115">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15">
              <w:r>
                <w:rPr>
                  <w:rStyle w:val="InternetLink"/>
                  <w:rFonts w:ascii="Times New Roman;serif" w:hAnsi="Times New Roman;serif"/>
                  <w:b w:val="false"/>
                  <w:strike w:val="false"/>
                  <w:dstrike w:val="false"/>
                  <w:color w:val="000000"/>
                  <w:sz w:val="20"/>
                  <w:u w:val="none"/>
                  <w:effect w:val="none"/>
                </w:rPr>
                <w:t>28</w:t>
              </w:r>
            </w:hyperlink>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18">
              <w:r>
                <w:rPr>
                  <w:rStyle w:val="InternetLink"/>
                  <w:rFonts w:ascii="Times New Roman;serif" w:hAnsi="Times New Roman;serif"/>
                  <w:b w:val="false"/>
                  <w:color w:val="000000"/>
                  <w:sz w:val="20"/>
                  <w:u w:val="single"/>
                </w:rPr>
                <w:t xml:space="preserve">Item 6. </w:t>
              </w:r>
            </w:hyperlink>
            <w:hyperlink w:anchor="i9be42240d22b4c28a311a09376cbecb5_118">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18">
              <w:r>
                <w:rPr>
                  <w:rStyle w:val="InternetLink"/>
                  <w:rFonts w:ascii="Times New Roman;serif" w:hAnsi="Times New Roman;serif"/>
                  <w:b w:val="false"/>
                  <w:strike w:val="false"/>
                  <w:dstrike w:val="false"/>
                  <w:color w:val="000000"/>
                  <w:sz w:val="20"/>
                  <w:u w:val="none"/>
                  <w:effect w:val="none"/>
                </w:rPr>
                <w:t>29</w:t>
              </w:r>
            </w:hyperlink>
          </w:p>
        </w:tc>
      </w:tr>
      <w:tr>
        <w:trPr/>
        <w:tc>
          <w:tcPr>
            <w:tcW w:w="9744"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be42240d22b4c28a311a09376cbecb5_121">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e42240d22b4c28a311a09376cbecb5_121">
              <w:r>
                <w:rPr>
                  <w:rStyle w:val="InternetLink"/>
                  <w:rFonts w:ascii="Times New Roman;serif" w:hAnsi="Times New Roman;serif"/>
                  <w:b w:val="false"/>
                  <w:strike w:val="false"/>
                  <w:dstrike w:val="false"/>
                  <w:color w:val="000000"/>
                  <w:sz w:val="20"/>
                  <w:u w:val="none"/>
                  <w:effect w:val="none"/>
                </w:rPr>
                <w:t>30</w:t>
              </w:r>
            </w:hyperlink>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Accumax®, BOG®, BUBBA®, Caldwell®, Deadshot®, Deathgrip®, Delta Series®, Don’t Be Outdoorsy – Be Outdoors®, E-MAX®, Engineered for the Unknown®, F.A.T. Wrench®, Fieldpod®, Frankford Arsenal®, Golden Rod®, Hooyman®, Imperial®, Intellidropper®, Lead Sled®, Lockdown®, Lockdown Puck®, Mag Charger®, MEAT! Your Maker®, Old Timer®, Schrade®, Sharpfinger®, Tipton®, Grilla®, Grilla Grills®, Uncle Henry®, Unmatched Accuracy at the Bench and in the Field®, Wheeler®, XLA Bipod®, Your Land. Your Legacy®, Crimson Trace®, Lasergrips®, Laserguard®, LaserLyte®, Lasersaddle®, Lightguard®, and Rail Master® are some of the registered U.S. trademarks of our company or one of our subsidiaries. AOB Products Company™, Dock and Unlock ™, From Niche to Known™, MEAT!™, Secure Your Lifestyle™, The Ultimate Lifestyle™, and Water to Plate™ are some of the unregistered trademarks of our company or one of our subsidiaries. Trademarks licensed to us by Smith &amp; Wesson Brands, Inc. in connection with the manufacture, distribution, marketing, advertising, promotion, merchandising, shipping, and sale of certain licensed accessory product categories include M&amp;P®, Performance Center®, and Smith &amp; Wesson®, among others. This report also may contain trademarks and trade names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Statement Regarding Forward-Looking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statements contained in this Quarterly Report on Form 10-Q that are not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“suggests,” “targets,” “contemplates,” “projects,” “predicts,” “may,” “might,” “plan,”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 that the unrecognized compensation expense related to unvested restricted stock units, or RSUs, and performance-based restricted stock units, or PSUs, will be recognized over a weighted average remaining contractual term of 1.6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intention to vigorously defend ourselves in the lawsuits to which we are subject;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possibility that an unfavorable outcome of litigation or prolonged litigation could harm our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consolidated financial statements may not be indicative of our future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belief that our future ability to fund our operating needs will depend on our future ability to generate positive cash flow from operations and obtain financing on acceptable terms;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belief that we will meet known or reasonably likely future cash requirements through the combination of cash flows from operating activities, available cash balances, and available borrowings through our existing $75 million credit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 that our overall cost of debt funding may increase and decrease the overall debt capacity and commercial credit available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future capital requirements depend on many factors, including net sales, the timing and extent of spending to support product development efforts, the expansion of sales and marketing activities, the timing of introductions of new products and enhancements to existing products, and any acquisitions or strategic investments that we may determine to make;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possibility that our ability to take advantage of unexpected business opportunities or to respond to competitive pressures could be limited or severely constrained if sufficient funds are not available or are not available on acceptable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 to continue to utilize our cash flows to invest in our business, including research and development for new product initiatives; hire additional employees; fund growth strategies, including any potential acquisitions; repay any indebtedness we may incur over time; and repurchase our common stock if we have authorization to do so;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possibility that increased demand for sourced products in various industries and other transportation disturbances could cause delays at various U.S. ports, which could delay the timing of receipt or cost of our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factors could cause our actual results to differ materially from those indicated by the forward-looking statements. Such factors include, among others,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disruptions in our suppliers’ ability to source the raw materials necessary for the production of our products, disruptions and delays in the manufacture of our products, and difficulties encountered by retailers and other components of the distribution channel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lower levels of consumer spending in general and specific to our products or product categories;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introduce new products that are successful in the marketplace;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of our arrangements with third-party contract manufacturers and freight carriers that disrupt our ability to fill our customers’ orders;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costs or decreases in availability of finished products, components, and raw materials;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increased tariffs on our products, including additional tariffs that may be imposed by the current presidential administration;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or strengthen our brand recognition and reputation;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forecast demand for our products accurately;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continue to expand our e-commerce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compete in a highly competitive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large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and retain talent;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pressures by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collect our accounts receivable;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product recalls, product liability, and other claims or lawsuits against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protect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inventory levels, both internally and in the distribution channel, in excess of demand;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identify acquisition candidates, to complete acquisitions of potential acquisition candidates, to integrate acquired businesses with our business, to achieve success with acquired companies, and to realize the benefits of acquisitions in a manner consistent with our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performance and security of our information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any applicable foreign laws or regulations and the effect of any increased protective tariffs;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economic, social, political, legislative, and regulatory factors, such as the impact from changing economic policies, tariffs and supply chain constraints;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increased regulation of firearms and firearms-related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investments for capital expenditures, liquidity, and anticipated cash needs and availability;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impairment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estimated amortization expense of intangible assets for future periods;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of social or economic activists that could, directly or indirectly, have an adverse effect on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caused by social unrest, including related protests or disturbances;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assessment of factors relating to the valuation of assets acquired and liabilities assumed in acquisitions, the timing for such evaluations, and the potential adjustment in such evaluations;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 factors detailed from time to time in our reports filed with the Securities and Exchange Commission, or the SEC, including information contained 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included herein, or in our Annual Report on Form 10-K, are based on information available to us as of their respective dates and speak only as of such dates. Except as required by law, we undertake no obligation to update any forward-looking statements to reflect events or circumstances after the date of such statements. The forward-looking statements contained in or incorporated by reference into this Quarterly Report on Form 10-Q, or in our Annual Report on Form 10-K, reflect our views as of the date of these reports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informational requirements of the Exchange Act, and we file or furnish reports, proxy statements, and other information with the SEC. Such reports and other information we file with the SEC are available free of charge at https://ir.aob.com/financial-information/sec-filings as soon as practicable after such reports are available on the SEC’s website at sec.gov. The SEC’s website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 BRANDS,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70"/>
        <w:gridCol w:w="2287"/>
        <w:gridCol w:w="2221"/>
        <w:gridCol w:w="231"/>
        <w:gridCol w:w="906"/>
        <w:gridCol w:w="119"/>
        <w:gridCol w:w="119"/>
        <w:gridCol w:w="119"/>
        <w:gridCol w:w="119"/>
        <w:gridCol w:w="231"/>
        <w:gridCol w:w="909"/>
        <w:gridCol w:w="174"/>
      </w:tblGrid>
      <w:tr>
        <w:trPr/>
        <w:tc>
          <w:tcPr>
            <w:tcW w:w="277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br/>
              <w:t>(Unaudited)</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par value and share data)</w:t>
            </w:r>
          </w:p>
        </w:tc>
      </w:tr>
      <w:tr>
        <w:trPr/>
        <w:tc>
          <w:tcPr>
            <w:tcW w:w="10205" w:type="dxa"/>
            <w:gridSpan w:val="12"/>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$396 on July 31, 2026 and $419 on April 30, 2026</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100,313 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91,889 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166,852 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162,694 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3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8,815 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30,270 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228,618 </w:t>
            </w:r>
          </w:p>
        </w:tc>
        <w:tc>
          <w:tcPr>
            <w:tcW w:w="11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226,620 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13,432 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15,444 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incentives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29,913 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13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30,814 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64,222 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60,727 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2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20,000,000 shares authorized, no shares issued or outstanding on July 31, 2026 and April 30, 2026</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 shares authorized, 15,444,198 shares issued and 12,615,054 shares outstanding on July 31, 2026 and 15,288,148 shares issued and 12,459,004 shares outstanding on April 30, 2026</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283,358 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283,327 </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stock, at cost (2,829,144 shares on July 31, 2026 and April 30, 2026)</w:t>
            </w:r>
          </w:p>
        </w:tc>
        <w:tc>
          <w:tcPr>
            <w:tcW w:w="11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(33,541)</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(33,541)</w:t>
            </w:r>
          </w:p>
        </w:tc>
        <w:tc>
          <w:tcPr>
            <w:tcW w:w="17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164,396 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165,893 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228,618 </w:t>
            </w:r>
          </w:p>
        </w:tc>
        <w:tc>
          <w:tcPr>
            <w:tcW w:w="11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226,620 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280" w:type="dxa"/>
        <w:jc w:val="left"/>
        <w:tblInd w:w="0" w:type="dxa"/>
        <w:tblLayout w:type="fixed"/>
        <w:tblCellMar>
          <w:top w:w="28" w:type="dxa"/>
          <w:left w:w="28" w:type="dxa"/>
          <w:bottom w:w="28" w:type="dxa"/>
          <w:right w:w="28" w:type="dxa"/>
        </w:tblCellMar>
      </w:tblPr>
      <w:tblGrid>
        <w:gridCol w:w="1753"/>
        <w:gridCol w:w="1529"/>
        <w:gridCol w:w="1547"/>
        <w:gridCol w:w="109"/>
        <w:gridCol w:w="109"/>
        <w:gridCol w:w="208"/>
        <w:gridCol w:w="208"/>
        <w:gridCol w:w="208"/>
        <w:gridCol w:w="208"/>
        <w:gridCol w:w="403"/>
        <w:gridCol w:w="1377"/>
        <w:gridCol w:w="208"/>
        <w:gridCol w:w="109"/>
        <w:gridCol w:w="109"/>
        <w:gridCol w:w="109"/>
        <w:gridCol w:w="211"/>
        <w:gridCol w:w="721"/>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July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2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19,735 </w:t>
            </w:r>
          </w:p>
        </w:tc>
        <w:tc>
          <w:tcPr>
            <w:tcW w:w="20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and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21,851 </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20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0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(6,777)</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12,719</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056"/>
        <w:gridCol w:w="667"/>
        <w:gridCol w:w="674"/>
        <w:gridCol w:w="199"/>
        <w:gridCol w:w="199"/>
        <w:gridCol w:w="203"/>
        <w:gridCol w:w="109"/>
        <w:gridCol w:w="109"/>
        <w:gridCol w:w="109"/>
        <w:gridCol w:w="196"/>
        <w:gridCol w:w="331"/>
        <w:gridCol w:w="109"/>
        <w:gridCol w:w="109"/>
        <w:gridCol w:w="109"/>
        <w:gridCol w:w="109"/>
        <w:gridCol w:w="196"/>
        <w:gridCol w:w="736"/>
        <w:gridCol w:w="109"/>
        <w:gridCol w:w="109"/>
        <w:gridCol w:w="109"/>
        <w:gridCol w:w="109"/>
        <w:gridCol w:w="196"/>
        <w:gridCol w:w="680"/>
        <w:gridCol w:w="109"/>
        <w:gridCol w:w="109"/>
        <w:gridCol w:w="109"/>
        <w:gridCol w:w="109"/>
        <w:gridCol w:w="170"/>
        <w:gridCol w:w="170"/>
        <w:gridCol w:w="171"/>
        <w:gridCol w:w="109"/>
        <w:gridCol w:w="109"/>
        <w:gridCol w:w="109"/>
        <w:gridCol w:w="196"/>
        <w:gridCol w:w="680"/>
        <w:gridCol w:w="109"/>
        <w:gridCol w:w="109"/>
        <w:gridCol w:w="109"/>
        <w:gridCol w:w="109"/>
        <w:gridCol w:w="196"/>
        <w:gridCol w:w="736"/>
        <w:gridCol w:w="155"/>
      </w:tblGrid>
      <w:tr>
        <w:trPr/>
        <w:tc>
          <w:tcPr>
            <w:tcW w:w="10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July 31, 2025</w:t>
            </w:r>
          </w:p>
        </w:tc>
        <w:tc>
          <w:tcPr>
            <w:tcW w:w="6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30, 2025</w:t>
            </w:r>
          </w:p>
        </w:tc>
        <w:tc>
          <w:tcPr>
            <w:tcW w:w="60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280,711 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(74,700)</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(28,416)</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177,610 </w:t>
            </w:r>
          </w:p>
        </w:tc>
        <w:tc>
          <w:tcPr>
            <w:tcW w:w="15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0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restricted stock unit awards, net of tax</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w:t>
            </w:r>
          </w:p>
        </w:tc>
        <w:tc>
          <w:tcPr>
            <w:tcW w:w="60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31, 2025</w:t>
            </w:r>
          </w:p>
        </w:tc>
        <w:tc>
          <w:tcPr>
            <w:tcW w:w="6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15,171</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280,292 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(81,529)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(30,940)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167,838 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 the Three Months Ended July 31, 2026</w:t>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30, 2026</w:t>
            </w:r>
          </w:p>
        </w:tc>
        <w:tc>
          <w:tcPr>
            <w:tcW w:w="60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165,893 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0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restricted stock unit awards, net of tax</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3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July 31, 2026</w:t>
            </w:r>
          </w:p>
        </w:tc>
        <w:tc>
          <w:tcPr>
            <w:tcW w:w="60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15,444</w:t>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283,358 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(85,436)</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2,829</w:t>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(33,541)</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164,396 </w:t>
            </w:r>
          </w:p>
        </w:tc>
        <w:tc>
          <w:tcPr>
            <w:tcW w:w="15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063" w:type="dxa"/>
        <w:jc w:val="left"/>
        <w:tblInd w:w="0" w:type="dxa"/>
        <w:tblLayout w:type="fixed"/>
        <w:tblCellMar>
          <w:top w:w="28" w:type="dxa"/>
          <w:left w:w="28" w:type="dxa"/>
          <w:bottom w:w="28" w:type="dxa"/>
          <w:right w:w="28" w:type="dxa"/>
        </w:tblCellMar>
      </w:tblPr>
      <w:tblGrid>
        <w:gridCol w:w="2605"/>
        <w:gridCol w:w="2294"/>
        <w:gridCol w:w="2301"/>
        <w:gridCol w:w="246"/>
        <w:gridCol w:w="842"/>
        <w:gridCol w:w="127"/>
        <w:gridCol w:w="127"/>
        <w:gridCol w:w="127"/>
        <w:gridCol w:w="127"/>
        <w:gridCol w:w="246"/>
        <w:gridCol w:w="842"/>
        <w:gridCol w:w="179"/>
      </w:tblGrid>
      <w:tr>
        <w:trPr/>
        <w:tc>
          <w:tcPr>
            <w:tcW w:w="260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July 31,</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by/(used in) operating activities:</w:t>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accounts receivable</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17,912 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(8,424)</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7,234 </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incentives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by/(used in) operating activities</w:t>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7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patents and software</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property and equipment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7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acquire treasury stock</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withholding tax related to restricted stock units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17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and cash equivalents</w:t>
            </w:r>
          </w:p>
        </w:tc>
        <w:tc>
          <w:tcPr>
            <w:tcW w:w="108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2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7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23,423 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2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7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21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9"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American Outdoor Brands, Inc. and its wholly owned Subsidiaries (our "company," "we," "us," or "our") is a leading provider of outdoor lifestyle products and shooting sports accessories encompassing hunting, fishing, meat processing, outdoor cooking, camping, shooting, and personal security and defense products for rugged outdoor enthusiasts.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conceive, design, produce or source, and sell our outdoor lifestyle products,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premium sportsman knives and tools for fishing and hunting;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land management tools for hunting preparedness and for use in the backyard;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products used while hunting;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meat processing equipment;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outdoor cooking products.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conceive, design, produce or source, and sell our shooting sports accessories, including: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rests, vaults, and other related accessories;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electro-optical devices, including hunting optics, firearm aiming devices, flashlights, and laser grips;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reloading, gunsmithing, and firearm cleaning supplies.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develop and market all our products as well as manufacture some of our electro-optics products at our facility in Columbia, Missouri. We also contract for the manufacture and assembly of most of our products with third parties located in Asia.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BOG, BUBBA, Caldwell, Crimson Trace, Frankford Arsenal, Grilla Grills, or Grilla, Hooyman, Imperial, LaserLyte, Lockdown, MEAT! Your Maker, Old Timer, Schrade, Tipton, Uncle Henry, and Wheeler, and we license additional brands for use in association with certain products we sell, including M&amp;P, Smith &amp; Wesson, and Performance Center by Smith &amp; Wesson. In focusing on the growth of our brands, we organize our product development, customer service, and marketing teams into four brand lanes, each of which focuses on one of four distinct consumer verticals – Adventurer, Harvester, Marksman, and Defender – with each of our brands included in one of the brand lanes.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Interim Financial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the requirements of the SEC for interim reporting. As permitted under those rules, certain disclosures and other financial information that normally are required by accounting principles generally accepted in the United States ("GAAP") have been condensed or omitted. Our accounting policies are described in the Notes to the Consolidated Financial Statements in our Annual Report on Form 10-K for our fiscal year ended April 30, 2026. We are responsible for the condensed consolidated financial statements included in this report, which are unaudited but, in our opinion, include all adjustments necessary for a fair presentation of our condensed consolidated balance sheet as of July 31, 2026, our condensed consolidated statement of operations for the three months ended July 31, 2026 and 2025, and our condensed consolidated statement of cash flows for the three months ended July 31, 2026 and 2025. The consolidated balance sheet as of April 30, 2026 was derived from audited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reported in these condensed consolidated financial statements should not necessarily be taken as indicative of results that may be expected for the entire fiscal year.</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Certain prior-year amounts have been reclassified to conform to the current-year presentation. In connection with the separate presentation of other current assets on the consolidated balance sheets, amounts previously reported as prepaid expenses and other current assets have been reclassified to separate captions for prepaid expenses and other current assets. Corresponding reclassifications were also made within operating activities on the consolidated statements of cash flows. These reclassifications had no effect on previously reported total current assets, total assets, net income, stockholders' equity, net cash provided by operating activities, or net increase (decrease) in cash and cash equivalents</w:t>
      </w:r>
      <w:r>
        <w:rPr>
          <w:rFonts w:ascii="Times New Roman;serif" w:hAnsi="Times New Roman;serif"/>
          <w:b w:val="false"/>
          <w:i/>
          <w:color w:val="000000"/>
          <w:sz w:val="20"/>
        </w:rPr>
        <w: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U.S. Tariff Developments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political and economic environment is dynamic and uncertain, as the current U.S. Administration has imposed tariffs such as Section 301 and Section 232 of the Trade Act, modified and paused tariffs, and granted exemptions from tariffs, on different countries and products multiple times recently.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U.S. Administration imposed a series of tariffs on nearly all U.S. trading partners pursuant to the International Emergency Economic Powers Act of 1977 (“IEEPA”). On February 20, 2026, the United States Supreme Court issued a ruling striking down tariffs previously imposed under IEEPA. Immediately following the Supreme Court ruling, the U.S. government initiated new tariffs under Section 122 of the Trade Act ("Section 122 tariffs") which have been in effect since February 24, 2026. We continue to monitor and evaluate these developments and assess their potential impact on our business,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U.S. Court of International Trade ("CIT") issued an order directing U.S. Customs and Border Protection ("CBP") to process refunds of certain IEEPA tariffs. In April 2026, CBP released a new system to process IEEPA tariff refunds, allowing importers to submit refund claims. We believe it is probable that we will recover the IEEPA tariffs previously paid and have recognized IEEPA tariff refund receivables under the loss recovery accounting model. Accordingly, we recorded a receivable of $15.2 million as of April 30, 2026 and an additional receivable of $693,000 for new claims submitted during the three months ended July 31, 2026. As of July 31, 2026, we have received $14.2 million in cash related to these receivables and have a remaining receivable of $1.7 million, which was recorded in other current assets.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ultimate timing and amount of recoveries for our outstanding receivables and potential future claims remain subject to review and processing by governmental authorities and could be affected by future legal, regulatory, or administrative developments. In addition, there continues to be uncertainty regarding existing and proposed tariff regimes, including the potential imposition, modification, suspension, or invalidation of tariffs under various statutory authorities. We continue to monitor tariff-related developments and assess their potential impact on its business, financial condition, and results of operations.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revenue for the sale of our products at the point in time when the control of ownership has transferred to the customer and our primary performance obligation is the sale of the finished goods to wholesale, retail, and direct-to-consumer. The transfer of control typically occurs at a point in time based on consideration of when the customer has (i) a payment obligation, (ii) physical possession of goods has been received, (iii) legal title to goods has passed, (iv) risks and rewards of ownership of goods has passed to the customer, and (v) the customer has the ability to direct the use of and obtain substantially all of the benefits from the product. The timing of revenue recognition occurs either on shipment or delivery of goods based on contractual terms with the customer, as this is when transfer of control occurs and the customer has the ability to direct the use of and obtain substantially all the benefits from the product, has title and significant risks and rewards of ownership of the product, and physical possession of the product has been transferred. Revenue recorded excludes sales tax charged to retail customers as we are considered a pass-through conduit for collecting and remitting sales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duration of contractual arrangements with customers in our wholesale and retail channels is typically less than one year. Payment terms with customers are typically between 20 and 90 days, with a discount available in certain cases for early payment. For contracts with discounted terms, we determine the transaction price upon establishment of the contract that contains the final terms of the sale, including the description, quantity, and price of each product purchased. We estimate variable consideration relative to the amount of cash discounts to which customers are likely to be entitled. In some instances, we provide longer payment terms, particularly as it relates to extended seasonal payment terms for certain hunting related products, which represent payment terms due in the fall for certain orders of hunting products received in the spring and summer. We do not consider these extended terms to be a significant financing component of the contract because the payment terms are less than one year.</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elected to treat all shipping and handling activities as fulfillment costs and recognize the costs as distribution expenses at the time we recognize the related revenue. Shipping and handling costs billed to customers are included in net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sponsor direct-to-consumer customer loyalty programs in which customers earn rewards from qualifying purchases or activities. We defer revenue for a portion of the transaction price from product sales to customers that earn loyalty points.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revenue we recognize reflects the expected consideration to be received for providing the goods or services to customers, which includes estimates for variable consideration. Variable consideration includes allowances for trade term discounts, volume incentives, chargebacks, and product returns. Estimates of variable consideration are determined at contract inception and are constrained to the extent that the inclusion of such variable consideration could result in a significant reversal of cumulative revenue in future periods. We apply the portfolio approach as a practical expedient and utilize the expected value method in determining estimates of variable consideration, based on evaluations of specific product and customer circumstances, historical and anticipated trends, and current economic conditions. We have co-op advertising program expense, which we record within advertising expense, in recognition of a distinct service that we receive from our customers at the retail level which estimates fair value of the service.</w:t>
      </w:r>
    </w:p>
    <w:p>
      <w:pPr>
        <w:pStyle w:val="TextBody"/>
        <w:bidi w:val="0"/>
        <w:spacing w:lineRule="auto" w:line="252" w:before="0" w:after="0"/>
        <w:jc w:val="both"/>
        <w:rPr>
          <w:rFonts w:ascii="Times New Roman;serif" w:hAnsi="Times New Roman;serif"/>
          <w:b w:val="false"/>
          <w:color w:val="000000"/>
          <w:sz w:val="20"/>
        </w:rPr>
      </w:pPr>
      <w:r>
        <w:rPr>
          <w:rFonts w:ascii="Times New Roman;serif" w:hAnsi="Times New Roman;serif"/>
          <w:b w:val="false"/>
          <w:color w:val="000000"/>
          <w:sz w:val="20"/>
        </w:rPr>
        <w:t>In some instances, sales include multiple performance obligations. The most common of these instances relates to sales promotion programs under which customers are entitled to receive a free good or subscription service based upon their purchase of our products, which we have identified as a material right.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subscription revenue ratably over the term of the contract, as the customer simultaneously receives and consumes the benefits of the service throughout the period. The net change in contract liabilities for a given period is reported as increase or decrease in accrued expenses on the balance sheet and an increase or decrease in sales on the statement of operations. During the three months ended July 31, 2026 we recorded an immaterial amount of service revenue and deferred revenue to satisfy certain performance obligations.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net sales in our shooting sports and outdoor lifestyle categories for the three months ended July 31, 2026 and 2025 (dollars in thousands):</w:t>
      </w:r>
    </w:p>
    <w:tbl>
      <w:tblPr>
        <w:tblW w:w="7244" w:type="dxa"/>
        <w:jc w:val="left"/>
        <w:tblInd w:w="0" w:type="dxa"/>
        <w:tblLayout w:type="fixed"/>
        <w:tblCellMar>
          <w:top w:w="28" w:type="dxa"/>
          <w:left w:w="28" w:type="dxa"/>
          <w:bottom w:w="28" w:type="dxa"/>
          <w:right w:w="28" w:type="dxa"/>
        </w:tblCellMar>
      </w:tblPr>
      <w:tblGrid>
        <w:gridCol w:w="808"/>
        <w:gridCol w:w="711"/>
        <w:gridCol w:w="71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Shooting sports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Outdoor lifestyle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shooting sports category includes net sales of shooting accessories and our products used for personal protection. Our outdoor lifestyle category includes net sales of our products used in hunting, fishing, rugged outdoor activities, meat processing, and outdoor cooking.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trade channel net sales for the three months ended July 31, 2026 and 2025 (dollars in thousands):</w:t>
      </w:r>
    </w:p>
    <w:p>
      <w:pPr>
        <w:pStyle w:val="TextBody"/>
        <w:bidi w:val="0"/>
        <w:spacing w:before="0" w:after="240"/>
        <w:jc w:val="left"/>
        <w:rPr/>
      </w:pPr>
      <w:r>
        <w:rPr/>
      </w:r>
    </w:p>
    <w:tbl>
      <w:tblPr>
        <w:tblW w:w="7604" w:type="dxa"/>
        <w:jc w:val="left"/>
        <w:tblInd w:w="0" w:type="dxa"/>
        <w:tblLayout w:type="fixed"/>
        <w:tblCellMar>
          <w:top w:w="28" w:type="dxa"/>
          <w:left w:w="28" w:type="dxa"/>
          <w:bottom w:w="28" w:type="dxa"/>
          <w:right w:w="28" w:type="dxa"/>
        </w:tblCellMar>
      </w:tblPr>
      <w:tblGrid>
        <w:gridCol w:w="940"/>
        <w:gridCol w:w="826"/>
        <w:gridCol w:w="82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 channels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channels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e-commerce channels include net sales from customers that do not traditionally operate a physical brick and mortar store, but generate the majority of their revenue from consumer purchases at their retail websites. Our e-commerce channels also include our direct-to-consumer sales. Our traditional channels include customers that operate primarily out of physical brick and mortar stores and generate the large majority of their revenue from consumer purchases at their brick-and-mortar locations.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products worldwide. The following table sets forth certain information regarding geographic makeup of net sales included in the above table for the three months ended July 31, 2026 and 2025 (dollars in thousands): </w:t>
      </w:r>
    </w:p>
    <w:tbl>
      <w:tblPr>
        <w:tblW w:w="6914" w:type="dxa"/>
        <w:jc w:val="left"/>
        <w:tblInd w:w="0" w:type="dxa"/>
        <w:tblLayout w:type="fixed"/>
        <w:tblCellMar>
          <w:top w:w="28" w:type="dxa"/>
          <w:left w:w="28" w:type="dxa"/>
          <w:bottom w:w="28" w:type="dxa"/>
          <w:right w:w="28" w:type="dxa"/>
        </w:tblCellMar>
      </w:tblPr>
      <w:tblGrid>
        <w:gridCol w:w="691"/>
        <w:gridCol w:w="606"/>
        <w:gridCol w:w="6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Warranty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provide either a limited lifetime, four-year, three-year, two-year, or one-year warranty program to the original purchaser of most of our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 in accrued warranties, a portion of which is recorded as a non-current liability, during the three months ended July 31, 2026, and 2025 (in thousands):</w:t>
      </w:r>
    </w:p>
    <w:tbl>
      <w:tblPr>
        <w:tblW w:w="6582" w:type="dxa"/>
        <w:jc w:val="left"/>
        <w:tblInd w:w="0" w:type="dxa"/>
        <w:tblLayout w:type="fixed"/>
        <w:tblCellMar>
          <w:top w:w="28" w:type="dxa"/>
          <w:left w:w="28" w:type="dxa"/>
          <w:bottom w:w="28" w:type="dxa"/>
          <w:right w:w="28" w:type="dxa"/>
        </w:tblCellMar>
      </w:tblPr>
      <w:tblGrid>
        <w:gridCol w:w="1457"/>
        <w:gridCol w:w="1278"/>
        <w:gridCol w:w="1285"/>
        <w:gridCol w:w="247"/>
        <w:gridCol w:w="721"/>
        <w:gridCol w:w="127"/>
        <w:gridCol w:w="109"/>
        <w:gridCol w:w="109"/>
        <w:gridCol w:w="109"/>
        <w:gridCol w:w="245"/>
        <w:gridCol w:w="716"/>
        <w:gridCol w:w="179"/>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2025</w:t>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adjustments to provisions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w:t>
            </w:r>
          </w:p>
        </w:tc>
        <w:tc>
          <w:tcPr>
            <w:tcW w:w="9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7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July 2025, the Financial Accounting Standards Board ("FASB") issued Accounting Standards Update ("ASU") No. 2025-05, </w:t>
      </w:r>
      <w:r>
        <w:rPr>
          <w:rFonts w:ascii="Times New Roman;serif" w:hAnsi="Times New Roman;serif"/>
          <w:b w:val="false"/>
          <w:i/>
          <w:color w:val="000000"/>
          <w:sz w:val="20"/>
        </w:rPr>
        <w:t>Financial Instruments-Credit Losses</w:t>
      </w:r>
      <w:r>
        <w:rPr>
          <w:color w:val="000000"/>
        </w:rPr>
        <w:t xml:space="preserve"> </w:t>
      </w:r>
      <w:r>
        <w:rPr>
          <w:rFonts w:ascii="Times New Roman;serif" w:hAnsi="Times New Roman;serif"/>
          <w:b w:val="false"/>
          <w:color w:val="000000"/>
          <w:sz w:val="20"/>
        </w:rPr>
        <w:t xml:space="preserve">(Topic 326): Measurement of Credit Losses for Accounts Receivable and Contract Assets, which improves transparency to provide all entities with a practical expedient when estimating expected credit losses for current accounts receivable and current contract assets arising from transactions accounted for under Topic 606. We elected the practical expedient that assumes that current conditions as of the balance sheet date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change for the remaining life of the asset. We adopted this ASU during the three months ended July 31, 2026 and this ASU did not have a material impact on our condensed consolidated financial statements and disclosures.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November 2024, the "FASB" issued "ASU" No. 2024-03, Income Statement - Reporting Comprehensive Income - Expense Disaggregation Disclosures (Subtopic 220-40):</w:t>
      </w:r>
      <w:r>
        <w:rPr>
          <w:color w:val="000000"/>
        </w:rPr>
        <w:t xml:space="preserve">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which requires disaggregation disclosures on an annual or interim basis, in the notes to the financial statements, of certain categories of expenses that are included in expense line items on the face of the statement of operations. ASU 2024-03 is effective for fiscal years beginning after December 15, 2026, and interim periods within annual reporting periods beginning after December 15, 2027 and should be applied prospectively, with the option to apply the standard retrospectively. We are currently evaluating the impact of adopting this ASU 2024-03 on our condensed consolidated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Assets Held for Sale: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2025, our Board of Directors approved a plan to divest our ust branded product line (the “Disposal Group”). The Disposal Group consists primarily of inventory and long-lived intangible assets associated with the brand. We expect to complete the divestiture within twelve months of the date the plan was approved.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Disposal Group does not represent a strategic shift that will have a major effect on our operations or financial results. We concluded that the Disposal Group met the criteria for classification as held for sale under ASC 360-10 –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during fiscal 2026 and does not qualify as discontinued operations under ASC 205-20 – </w:t>
      </w:r>
      <w:r>
        <w:rPr>
          <w:rFonts w:ascii="Times New Roman;serif" w:hAnsi="Times New Roman;serif"/>
          <w:b w:val="false"/>
          <w:i/>
          <w:color w:val="000000"/>
          <w:sz w:val="20"/>
        </w:rPr>
        <w:t>Presentation of Financial Statements</w:t>
      </w:r>
      <w:r>
        <w:rPr>
          <w:rFonts w:ascii="Times New Roman;serif" w:hAnsi="Times New Roman;serif"/>
          <w:b w:val="false"/>
          <w:color w:val="000000"/>
          <w:sz w:val="20"/>
        </w:rPr>
        <w:t xml:space="preserve">. The results of the Disposal Group will continue to be reported within continuing operations.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classification as held for sale in the prior fiscal year, we measured the Disposal Group at the lower of its carrying amount or fair value less costs to sell. Based on our estimate of fair value using the income approach, we determined that the carrying value exceeded the fair value less costs to sell and recorded a non-cash impairment charge of $3.4 million during our third quarter of fiscal 2026. The impairment charge was included within operating income in the Condensed Consolidated Statements of Operations. Following the impairment and subsequent sales of inventory, the carrying amount of the Disposal Group was $734,000 and $633,000 as of April 30, 2026 and July 31, 2026, respectively.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fair value of the Disposal Group used to determine the impairment recognized in fiscal 2026 was determined using Level 3 inputs under the fair value hierarchy in ASC 820 – </w:t>
      </w:r>
      <w:r>
        <w:rPr>
          <w:rFonts w:ascii="Times New Roman;serif" w:hAnsi="Times New Roman;serif"/>
          <w:b w:val="false"/>
          <w:i/>
          <w:color w:val="000000"/>
          <w:sz w:val="20"/>
        </w:rPr>
        <w:t>Fair Value Measurement</w:t>
      </w:r>
      <w:r>
        <w:rPr>
          <w:rFonts w:ascii="Times New Roman;serif" w:hAnsi="Times New Roman;serif"/>
          <w:b w:val="false"/>
          <w:color w:val="000000"/>
          <w:sz w:val="20"/>
        </w:rPr>
        <w:t>. Fair values were estimated using discounted cash flow analysis using significant assumptions including projected cash flows of the brand, terminal growth rates, discount rates, and market-based revenue multiples observed in comparable transactions. Estimated costs to sell primarily consist of expected transaction-related fees and other incremental costs directly attributable to the disposal.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update our estimate of fair value less costs to sell at each reporting date until the transaction is completed. As of July 31, 2026, the estimated fair value less costs to sell exceeded the $633,000 carrying amount of the Disposal Group. Accordingly, no additional impairment loss or reversal of the previously recognized impairment loss was recognized during the three months ended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(4) Other Current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April 30, 2026, we submitted claims seeking refunds of certain IEEPA tariffs previously paid. Based on our assessment of the Supreme Court ruling, subsequent legal and administrative developments, and the status of our claim, we concluded that recovery of a portion of such tariffs was probable and reasonably estimable. Accordingly, we recorded a receivable of $15.2 million as of April 30, 2026. For the three months ended July 31, 2026 we recorded an additional receivable of $693,000 for new claims submitted and received $14.2 million in cash related to these claims. As of July 31, 2026, there is $1.7 million of IEEPA tariff refund receivable remaining for these claims. Other current assets also includes inventory deposits and other receivable balances as of July 31, 2026 and April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lease real estate, as well as other equipment, under non-cancelable operating lease agreements. We recognize expenses under our operating lease assets and liabilities at the commencement date based on the present value of lease payments over the lease terms. Our leases do not provide an implicit interest rate. We use our incremental borrowing rate consistent with our revolving line of credit based on the information available at the lease commencement date in determining the discount rate for the present value of lease payments. Our lease agreements do not require material variable lease payments, residual value guarantees, or restrictive covenants. For operating leases, we recognize expense on a straight-line basis over the lease term. We record tenant improvement allowances as an offsetting adjustment included in our calculation of the respective right-of-use asset. The vast majority of our leases are for property located in the United States.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leases include renewal options that can extend the lease term. These renewal options are at our sole discretion and are reflected in the lease term when they are reasonably certain to be exercised. The depreciable life of assets and leasehold improvements are limited by the expected lease term.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of assets and liabilities related to our operating leases as of July 31, 2026 and April 30, 2026 are as follows (in thousands):</w:t>
      </w:r>
    </w:p>
    <w:tbl>
      <w:tblPr>
        <w:tblW w:w="5846" w:type="dxa"/>
        <w:jc w:val="left"/>
        <w:tblInd w:w="0" w:type="dxa"/>
        <w:tblLayout w:type="fixed"/>
        <w:tblCellMar>
          <w:top w:w="28" w:type="dxa"/>
          <w:left w:w="28" w:type="dxa"/>
          <w:bottom w:w="28" w:type="dxa"/>
          <w:right w:w="28" w:type="dxa"/>
        </w:tblCellMar>
      </w:tblPr>
      <w:tblGrid>
        <w:gridCol w:w="1169"/>
        <w:gridCol w:w="1024"/>
        <w:gridCol w:w="1031"/>
        <w:gridCol w:w="222"/>
        <w:gridCol w:w="759"/>
        <w:gridCol w:w="114"/>
        <w:gridCol w:w="109"/>
        <w:gridCol w:w="109"/>
        <w:gridCol w:w="109"/>
        <w:gridCol w:w="233"/>
        <w:gridCol w:w="797"/>
        <w:gridCol w:w="170"/>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9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(7,225)</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30,270 </w:t>
            </w:r>
          </w:p>
        </w:tc>
        <w:tc>
          <w:tcPr>
            <w:tcW w:w="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30,814 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32,005 </w:t>
            </w:r>
          </w:p>
        </w:tc>
        <w:tc>
          <w:tcPr>
            <w:tcW w:w="1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32,383 </w:t>
            </w:r>
          </w:p>
        </w:tc>
        <w:tc>
          <w:tcPr>
            <w:tcW w:w="17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31, 2026, we recorded $1.0 million of operating lease costs, of which $78,000 related to short-term leases. For the three months ended July 31, 2025, we recorded $1.1 million of operating lease costs, of which $99,000 related to short-term leases. As of July 31, 2026 and April 30, 2026 , our weighted average lease term and weighted average discount rate for our operating leases was 12.0 years and 6.0%, and 12.5 years and 6.0% , respectively. The operating lease costs, weighted average lease term, and weighted average discount rate, are primarily driven by the lease of our corporate office and warehouse facility in Columbia, Missouri through fiscal 2039. The depreciable lives of right-of-use assets are limited by the lease term and are amortized on a straight-line basis over the life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lease payments for all our operating leases for the remainder of fiscal 2027 and for succeeding fiscal years, as of July 31, 2026, are as follows (in thousands):</w:t>
      </w:r>
    </w:p>
    <w:tbl>
      <w:tblPr>
        <w:tblW w:w="4521" w:type="dxa"/>
        <w:jc w:val="left"/>
        <w:tblInd w:w="0" w:type="dxa"/>
        <w:tblLayout w:type="fixed"/>
        <w:tblCellMar>
          <w:top w:w="28" w:type="dxa"/>
          <w:left w:w="28" w:type="dxa"/>
          <w:bottom w:w="28" w:type="dxa"/>
          <w:right w:w="28" w:type="dxa"/>
        </w:tblCellMar>
      </w:tblPr>
      <w:tblGrid>
        <w:gridCol w:w="1241"/>
        <w:gridCol w:w="1090"/>
        <w:gridCol w:w="1104"/>
        <w:gridCol w:w="211"/>
        <w:gridCol w:w="721"/>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9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(13,672)</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lease liabilities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maturities of lease liabilities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30,403 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 paid for amounts included in the measurement of liabilities and the operating cash flows was $378,000 and $20,000 for the three months ended July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(6) Intangible Assets,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intangible assets as of July 31, 2026 and April 30, 2026 (in thousands):</w:t>
      </w:r>
    </w:p>
    <w:tbl>
      <w:tblPr>
        <w:tblW w:w="10205" w:type="dxa"/>
        <w:jc w:val="left"/>
        <w:tblInd w:w="0" w:type="dxa"/>
        <w:tblLayout w:type="fixed"/>
        <w:tblCellMar>
          <w:top w:w="28" w:type="dxa"/>
          <w:left w:w="28" w:type="dxa"/>
          <w:bottom w:w="28" w:type="dxa"/>
          <w:right w:w="28" w:type="dxa"/>
        </w:tblCellMar>
      </w:tblPr>
      <w:tblGrid>
        <w:gridCol w:w="756"/>
        <w:gridCol w:w="512"/>
        <w:gridCol w:w="514"/>
        <w:gridCol w:w="211"/>
        <w:gridCol w:w="826"/>
        <w:gridCol w:w="109"/>
        <w:gridCol w:w="109"/>
        <w:gridCol w:w="109"/>
        <w:gridCol w:w="109"/>
        <w:gridCol w:w="211"/>
        <w:gridCol w:w="854"/>
        <w:gridCol w:w="109"/>
        <w:gridCol w:w="109"/>
        <w:gridCol w:w="109"/>
        <w:gridCol w:w="109"/>
        <w:gridCol w:w="212"/>
        <w:gridCol w:w="727"/>
        <w:gridCol w:w="109"/>
        <w:gridCol w:w="109"/>
        <w:gridCol w:w="109"/>
        <w:gridCol w:w="109"/>
        <w:gridCol w:w="211"/>
        <w:gridCol w:w="826"/>
        <w:gridCol w:w="109"/>
        <w:gridCol w:w="109"/>
        <w:gridCol w:w="109"/>
        <w:gridCol w:w="109"/>
        <w:gridCol w:w="211"/>
        <w:gridCol w:w="854"/>
        <w:gridCol w:w="109"/>
        <w:gridCol w:w="109"/>
        <w:gridCol w:w="109"/>
        <w:gridCol w:w="109"/>
        <w:gridCol w:w="212"/>
        <w:gridCol w:w="726"/>
        <w:gridCol w:w="162"/>
      </w:tblGrid>
      <w:tr>
        <w:trPr/>
        <w:tc>
          <w:tcPr>
            <w:tcW w:w="7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1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77,380 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(73,977)</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77,380 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(73,516)</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6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software and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 trademarks, and trade 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12,730 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(156,854)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(155,367)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20,872 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software in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178,764 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(156,854)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(155,367)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23,097 </w:t>
            </w:r>
          </w:p>
        </w:tc>
        <w:tc>
          <w:tcPr>
            <w:tcW w:w="16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179,194 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(156,854)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178,894 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(155,367)</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23,527 </w:t>
            </w:r>
          </w:p>
        </w:tc>
        <w:tc>
          <w:tcPr>
            <w:tcW w:w="1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intangible assets with determinable lives over a weighted-average period of approximately five years. The weighted-average periods of amortization by intangible asset class is approximately five years for customer relationships, six years for developed software and technology, and six years for patents, trademarks, and trade names. Amortization expense amounted to $1.5 million and $2.1 million for the three months ended July 31, 2026 and 2025, respectively.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expected amortization expense for the remainder of fiscal 2027 and for succeeding fiscal years, as of July 31, 2026,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tbl>
      <w:tblPr>
        <w:tblW w:w="2359" w:type="dxa"/>
        <w:jc w:val="left"/>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4,409 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19,504 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 Fair Value Measurement:</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We follow the provisions of ASC 820-10, </w:t>
      </w:r>
      <w:r>
        <w:rPr>
          <w:rFonts w:ascii="Times New Roman;serif" w:hAnsi="Times New Roman;serif"/>
          <w:b w:val="false"/>
          <w:i/>
          <w:color w:val="000000"/>
          <w:sz w:val="20"/>
        </w:rPr>
        <w:t>Fair Value Measurements and Disclosures Topic</w:t>
      </w:r>
      <w:r>
        <w:rPr>
          <w:rFonts w:ascii="Times New Roman;serif" w:hAnsi="Times New Roman;serif"/>
          <w:b w:val="false"/>
          <w:color w:val="000000"/>
          <w:sz w:val="20"/>
        </w:rPr>
        <w:t>, or ASC 820-10, for our financial assets and liabilities. Certain nonfinancial assets, including assets held for sale, are measured at fair value on a nonrecurring basis when events or changes in circumstances indicate that the carrying value may not be recoverable or when classification as held for sale is appropriate.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recorded on the accompanying condensed consolidated balance sheets are categorized based on the inputs to the valuation techniques as follows:</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Financial assets and liabilities whose values are based on unadjusted quoted prices for identical assets or liabilities in an active market that we have the ability to access at the measurement date (examples include active exchange-traded equity securities, listed derivatives, and most U.S. Government and agency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are reported at fair value based on market prices for identical assets in active markets, and therefore classified as Level 1 of the value hierarchy. Our cash and cash equivalents, which are measured at fair value on a recurring basis, totaled as below as of July 31, 2026 and April 30, 2026 (in thousands) which would be the maximum amount of loss subject to credit risk.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Financial assets and liabilities whose values are based on quoted prices in markets in which trading occurs infrequently or whose values are based on quoted prices of instruments with similar attributes in active markets. Level 2 inputs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quoted prices for identical or similar assets or liabilities in non-active markets (such as corporate and municipal bonds which trade infrequently);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inputs other than quoted prices that are observable for substantially the full term of the asset or liability (such as interest rate and currency swaps); and</w:t>
      </w:r>
    </w:p>
    <w:p>
      <w:pPr>
        <w:pStyle w:val="TextBody"/>
        <w:bidi w:val="0"/>
        <w:spacing w:before="0" w:after="24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inputs that are derived principally from or corroborated by observable market data for substantially the full term of the asset or liability (such as certain securities and derivatives). </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 xml:space="preserve">Financial assets and liabilities whose values are based on prices or valuation techniques that require inputs that are both unobservable and significant to the overall fair value measurement. These inputs reflect our assumptions about the assumptions a market participant would use in pricing the asset or liability. The fair value of the Disposal Group is a non-recurring fair value measure as disclosed in Note 3 - </w:t>
      </w:r>
      <w:r>
        <w:rPr>
          <w:rFonts w:ascii="Times New Roman;serif" w:hAnsi="Times New Roman;serif"/>
          <w:b w:val="false"/>
          <w:i/>
          <w:color w:val="000000"/>
          <w:sz w:val="20"/>
        </w:rPr>
        <w:t xml:space="preserve">Assets Held for Sale </w:t>
      </w:r>
      <w:r>
        <w:rPr>
          <w:rFonts w:ascii="Times New Roman;serif" w:hAnsi="Times New Roman;serif"/>
          <w:b w:val="false"/>
          <w:color w:val="000000"/>
          <w:sz w:val="20"/>
        </w:rPr>
        <w:t xml:space="preserve">and the table below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thousands), was determined using Level 3 inputs under the fair value hierarchy. Fair values were estimated using discounted cash flow analysis using significant assumptions including projected cash flows of the brand, terminal growth rates, discount rates, and market-based revenue multiples observed in comparable transactions. </w:t>
      </w:r>
    </w:p>
    <w:tbl>
      <w:tblPr>
        <w:tblW w:w="8214" w:type="dxa"/>
        <w:jc w:val="left"/>
        <w:tblInd w:w="0" w:type="dxa"/>
        <w:tblLayout w:type="fixed"/>
        <w:tblCellMar>
          <w:top w:w="28" w:type="dxa"/>
          <w:left w:w="28" w:type="dxa"/>
          <w:bottom w:w="28" w:type="dxa"/>
          <w:right w:w="28" w:type="dxa"/>
        </w:tblCellMar>
      </w:tblPr>
      <w:tblGrid>
        <w:gridCol w:w="1911"/>
        <w:gridCol w:w="1679"/>
        <w:gridCol w:w="1689"/>
        <w:gridCol w:w="252"/>
        <w:gridCol w:w="862"/>
        <w:gridCol w:w="130"/>
        <w:gridCol w:w="109"/>
        <w:gridCol w:w="109"/>
        <w:gridCol w:w="109"/>
        <w:gridCol w:w="265"/>
        <w:gridCol w:w="906"/>
        <w:gridCol w:w="193"/>
      </w:tblGrid>
      <w:tr>
        <w:trPr/>
        <w:tc>
          <w:tcPr>
            <w:tcW w:w="191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30, 2026</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(Level 1)</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(Level 3) - non-recurring fair value measure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(8) Inventories: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inventories, stated at lower of cost or net realizable value, as of July 31, 2026 and April 30, 2026 (in thousands):</w:t>
      </w:r>
    </w:p>
    <w:tbl>
      <w:tblPr>
        <w:tblW w:w="4188" w:type="dxa"/>
        <w:jc w:val="left"/>
        <w:tblInd w:w="0" w:type="dxa"/>
        <w:tblLayout w:type="fixed"/>
        <w:tblCellMar>
          <w:top w:w="28" w:type="dxa"/>
          <w:left w:w="28" w:type="dxa"/>
          <w:bottom w:w="28" w:type="dxa"/>
          <w:right w:w="28" w:type="dxa"/>
        </w:tblCellMar>
      </w:tblPr>
      <w:tblGrid>
        <w:gridCol w:w="549"/>
        <w:gridCol w:w="482"/>
        <w:gridCol w:w="484"/>
        <w:gridCol w:w="211"/>
        <w:gridCol w:w="826"/>
        <w:gridCol w:w="109"/>
        <w:gridCol w:w="109"/>
        <w:gridCol w:w="109"/>
        <w:gridCol w:w="109"/>
        <w:gridCol w:w="233"/>
        <w:gridCol w:w="797"/>
        <w:gridCol w:w="170"/>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93,230 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85,223 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100,313 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91,889 </w:t>
            </w:r>
          </w:p>
        </w:tc>
        <w:tc>
          <w:tcPr>
            <w:tcW w:w="17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24, 2020, we entered into a financing arrangement consisting of a $50.0 million revolving line of credit secured by substantially all our assets. On March 25, 2022, we amended our secured loan and security agreement, or the Amended Loan and Security Agreement, increasing the revolving line of credit to $75 million, secured by substantially all our assets, maturing in March 2027, with available borrowings determined by a borrowing base calculation. The amendment also includes an option to increase the credit commitment by an additional $15 million. The amended revolving line bears interest at a fluctuating rate equal to the Base Rate or Secured Overnight Financing Rate, or SOFR, as applicable, plus the applicable margin. The applicable margin can range from a minimum of 0.25% to a maximum of 1.75% based on certain conditions as defined in the Amended Loan and Security Agreement. The financing arrangement contains covenants relating to minimum debt service coverage.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10, 2026, we amended our secured loan and security agreement, or the Third Amended Loan and Security Agreement, secured by substantially all our assets. The Third Amended Loan Agreement extended the maturity date to March 2031, increased the limits on permitted acquisitions, and reduced the covenant trigger threshold. Borrowing availability under the facility is subject to a borrowing base calculation. The financing arrangement also contains financial covenants, including a minimum debt service coverage ratio. We were in compliance with all financial covenants as of July 31,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31, 2026, we had no borrowings outstanding on the revolving line of credit. If we would have had borrowings at July 31, 2026, those borrowings would have borne interest at approximately 5.16%, which is equal to SOFR plus the applicable margin.</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31, 2026, we have irrevocable standby letters of credit totaling $5.4 million to collateralize duty drawback bonds. During the three months ended July 31, 2026, no amounts have been drawn on the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25, 2024, our Board of Directors approved a program to purchase up to $10.0 million of our common stock, subject to certain conditions, in the open market, in block purchases, or in privately negotiated transactions. This authorization expired on September 30, 2025. On September 30, 2025, our Board of Directors approved a program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purchase up to $10.0 million of our common stock, subject to certain conditions, in the open market, in block purchases, or in privately negotiated transactions, commencing on October 1, 2025 and executable through September 30, 2026. During the three months ended July 31, 2026 we did not repurchase any shares of our common stock under these authorizations. During the three months ended July 31, 2025, we repurchased 240,437 shares of our common stock for $2.5 million utilizing cash on hand.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Earnings/(Loss) Per Share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We calculate basic and diluted earnings/(loss) per share in accordance with the provisions of ASC 260-10, </w:t>
      </w:r>
      <w:r>
        <w:rPr>
          <w:rFonts w:ascii="Times New Roman;serif" w:hAnsi="Times New Roman;serif"/>
          <w:b w:val="false"/>
          <w:i/>
          <w:color w:val="000000"/>
          <w:sz w:val="20"/>
        </w:rPr>
        <w:t>Earnings Per Share</w:t>
      </w:r>
      <w:r>
        <w:rPr>
          <w:rFonts w:ascii="Times New Roman;serif" w:hAnsi="Times New Roman;serif"/>
          <w:b w:val="false"/>
          <w:color w:val="000000"/>
          <w:sz w:val="20"/>
        </w:rPr>
        <w:t>. Basic earnings per common share equals earnings/(loss) divided by the weighted average number of common shares outstanding during the periods presented. Diluted earnings per common share equals earnings/(loss) divided by the weighted average number of common shares outstanding during the periods presented, after giving effect to all potentially dilutive stock awards that are outstanding, if their effect is dilutive.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 loss from operations for the three months ended July 31, 2026, and 2025, there are no common shares added to calculate dilutive earnings per share because the effect would be anti-dilutive. Had there been income from operations for the three months ended July 31, 2026, and 2025, all of our performance-based restricted stock units, or PSUs, and restricted stock units, or RSUs, would have been included in the computation of diluted earnings per share and could potentially dilute earnings per share in the future.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Incentive Stock and Employee Stock Purchase Plans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 stock incentive plan, or 2020 Incentive Compensation Plan, under which we can grant new awards to our employees and directors.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grant RSUs to employees and directors. The awards are made at no cost to the recipient. An RSU represents the right to receive one share of our common stock and does not carry voting or dividend rights. Except in specific circumstances, RSU grants to employees generally vest over a period of three or four years with one-third or one-fourth of the units vesting on each anniversary of the grant date, respectively. RSU grants to directors generally vest over a 12-month period with one-twelve of the units vesting on each month anniversary of the grant date. We amortize the aggregate fair value of our RSU grants to compensation expense over the vesting period. Awards that do not vest are forfeited.</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grant PSUs to our executive officers and certain other employees from time to time. We granted PSUs to our executive officers in fiscal 2027 and 2026 that include internal performance metrics. These PSUs are earned and vest based on two internal performance metrics that include 1) a three-year average return on invested capital, or ROIC, and 2) a three-year cumulative Adjusted EBITDA. The grant date fair value of the fiscal 2026 awards was estimated using the closing share price of our common stock on the date of grant. The total quantity of PSUs eligible to vest under these awards range from zero to 200% of the target based on actual average ROIC and cumulative Adjusted EBITDA performance during the performance period. As such, the fiscal 2027 and 2026 awards are subject to performance conditions and compensation cost is recognized over the service period based on the amount of awards that we believe is probable that will vest. To the extent we estimate changes, we will recognize a cumulative catch up in subsequent reporting periods.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we granted an aggregate of 95,781 PSUs to our executive officers. We also granted 216,048 RSUs during the three months ended July 31, 2026, including 95,785 RSUs to executive officers and 120,263 to non-executive officer employees and directors under our 2020 Incentive Compensation Plan. During the three months ended July 31, 2026, 76,251 PSUs were cancelled, at target, as a result of the performance condition not being met, and 1,126 RSUs were cancelled as a result of the service condition not being met. In connection with the vesting of RSUs, during the three months ended July 31, 2026, we delivered common stock to our employees, including our executive officers, and directors with a total market value of $2.4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July 31, 2025, we granted an aggregate of 79,730 PSUs to our executive officers. We also granted 175,015 RSUs during the three months ended July 31, 2025, including 79,729 RSUs to executive officers and 95,286 to non-executive officer employees under our 2020 Incentive Compensation Plan. In addition, in connection with a 2022 grant, we vested 52,277 market-condition PSUs (i.e., the target amount granted), which achieved 200% of the maximum aggregate award possible, resulting in awards totaling 104,554 shares to certain of our executive officers.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three months ended July 31, 2025, 620 RSUs were cancelled as a result of the service condition not being met. In connection with the vesting of RSUs, during the three months ended July 31, 2025, we delivered common stock to our employees, including our executive officers, and directors with a total market value of $3.2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$737,000 and $651,000 of stock-based compensation expense for the three months ended July 31, 2026 and 2025, respectively.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stock-based compensation expense primarily in general and administrative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activity for unvested RSUs and PSUs under our 2020 Incentive Compensation Plan for the three months ended July 31, 2026 and 2025 is as follows:</w:t>
      </w:r>
    </w:p>
    <w:tbl>
      <w:tblPr>
        <w:tblW w:w="8884" w:type="dxa"/>
        <w:jc w:val="left"/>
        <w:tblInd w:w="0" w:type="dxa"/>
        <w:tblLayout w:type="fixed"/>
        <w:tblCellMar>
          <w:top w:w="28" w:type="dxa"/>
          <w:left w:w="28" w:type="dxa"/>
          <w:bottom w:w="28" w:type="dxa"/>
          <w:right w:w="28" w:type="dxa"/>
        </w:tblCellMar>
      </w:tblPr>
      <w:tblGrid>
        <w:gridCol w:w="1488"/>
        <w:gridCol w:w="1307"/>
        <w:gridCol w:w="1315"/>
        <w:gridCol w:w="309"/>
        <w:gridCol w:w="309"/>
        <w:gridCol w:w="311"/>
        <w:gridCol w:w="109"/>
        <w:gridCol w:w="109"/>
        <w:gridCol w:w="109"/>
        <w:gridCol w:w="240"/>
        <w:gridCol w:w="581"/>
        <w:gridCol w:w="124"/>
        <w:gridCol w:w="109"/>
        <w:gridCol w:w="109"/>
        <w:gridCol w:w="109"/>
        <w:gridCol w:w="309"/>
        <w:gridCol w:w="309"/>
        <w:gridCol w:w="311"/>
        <w:gridCol w:w="109"/>
        <w:gridCol w:w="109"/>
        <w:gridCol w:w="109"/>
        <w:gridCol w:w="238"/>
        <w:gridCol w:w="578"/>
        <w:gridCol w:w="17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4"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July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 of</w:t>
              <w:br/>
              <w:t>Restricted</w:t>
              <w:br/>
              <w:t>Stock Units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 of</w:t>
              <w:br/>
              <w:t>Restricted</w:t>
              <w:br/>
              <w:t>Stock Units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outstanding, beginning of period</w:t>
            </w:r>
          </w:p>
        </w:tc>
        <w:tc>
          <w:tcPr>
            <w:tcW w:w="9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715,254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700,953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7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(291,913)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 outstanding, end of period</w:t>
            </w:r>
          </w:p>
        </w:tc>
        <w:tc>
          <w:tcPr>
            <w:tcW w:w="929"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726,576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2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715,442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7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31, 2026, there was $3.2 million of unrecognized compensation expense related to unvested RSUs and PSUs. We expect to recognize this expense over a weighted average remaining contractual term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(11) Accrued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accrued expenses as of July 31, 2026 and April 30, 2026 (in thousands):</w:t>
      </w:r>
    </w:p>
    <w:tbl>
      <w:tblPr>
        <w:tblW w:w="5396" w:type="dxa"/>
        <w:jc w:val="left"/>
        <w:tblInd w:w="0" w:type="dxa"/>
        <w:tblLayout w:type="fixed"/>
        <w:tblCellMar>
          <w:top w:w="28" w:type="dxa"/>
          <w:left w:w="28" w:type="dxa"/>
          <w:bottom w:w="28" w:type="dxa"/>
          <w:right w:w="28" w:type="dxa"/>
        </w:tblCellMar>
      </w:tblPr>
      <w:tblGrid>
        <w:gridCol w:w="1004"/>
        <w:gridCol w:w="881"/>
        <w:gridCol w:w="889"/>
        <w:gridCol w:w="222"/>
        <w:gridCol w:w="759"/>
        <w:gridCol w:w="114"/>
        <w:gridCol w:w="109"/>
        <w:gridCol w:w="109"/>
        <w:gridCol w:w="109"/>
        <w:gridCol w:w="233"/>
        <w:gridCol w:w="797"/>
        <w:gridCol w:w="170"/>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April 30, 2026</w:t>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 tariff, and duty</w:t>
            </w:r>
          </w:p>
        </w:tc>
        <w:tc>
          <w:tcPr>
            <w:tcW w:w="2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1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7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other than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15,444 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1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income tax expense included in the condensed consolidated statements of operations is based upon the estimated effective tax rate for the year, adjusted for the impact of discrete items which are accounted for in the period in which they occur. We recorded income tax expense of $1,000 and $52,000 for the three months ended July 31, 2026 and 2025, respectively. The effective tax rate for the three months ended July 31, 2026 and 2025 was 0.0% and (0.8)%, respectively.</w:t>
        <w:b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AMERICAN OUTDOORS BRANDS,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July 31, 2026 and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0" w:after="120"/>
        <w:ind w:left="0" w:right="0" w:firstLine="1260"/>
        <w:jc w:val="both"/>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lawsuits, claims, investigations, and proceedings, including those relating to product liability, intellectual property, commercial relationships, employment issues, and governmental matters, which arise in the ordinary course of business.</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31, 2026 and 2025, we did not incur any material expenses in defense and administrative costs relative to product liability litigation. In addition, we did not incur any settlement fees related to product liability cases in those fiscal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evaluated our operations under ASC 280-10-50-1 – Segment Reporting and have concluded that we are operating as one segment based on several key factors, including the reporting and review process used by the chief operating decision maker, or CODM, who reviews only consolidated financial information and makes decisions to allocate resources based on those financial statements. Our CODM is our Chief Executive Officer.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analyze revenue streams in various ways, including customer group, brands, product categories, and customer channels. See also Note 2 – Summary of Significant Accounting Policies for more information on how we disaggregate our net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to set budgets, evaluate margins, review actual results and decide whether to reinvest profits and cash flows into our business, repurchase our stock, pursue acquisitions, or make any other capital management decisions. Consolidated net income is the measure of segment profit most consistent with U.S. GAAP that is regularly reviewed by the CODM to allocate resources and assess performance.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segment level expense information provided to the CODM is consistent with our consolidated statements of operations, as presented on the accompanying consolidated statements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accompanying consolidated balance sheet as total assets.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for the three months ended July 31, 2026 and 2025 should be read in conjunction with Management’s Discussion and Analysis of Financial Condition and Results of Operations in our Annual Report on Form 10-K for fiscal year ended April 30, 2026. This discussion and analysis should also be read in conjunction with our unaudited condensed consolidated financial statements and the notes thereto included in Item 1 of this Quarterly Report on Form 10-Q.</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those discussed above in “Statement Regarding Forward-Looking Information” in this Form 10-Q. In addition, this section sets forth key objectives and performance indicators used by us, as well as key industry data tracked by us.</w:t>
      </w:r>
    </w:p>
    <w:p>
      <w:pPr>
        <w:pStyle w:val="TextBody"/>
        <w:bidi w:val="0"/>
        <w:spacing w:lineRule="auto" w:line="26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includes references to net sales of our products in shooting sports and outdoor lifestyle categories. Our shooting sports category includes net sales of shooting accessories and our products used for personal protection. Our outdoor lifestyle category includes net sales of our products used for hunting, fishing, rugged outdoor activities, meat processing, and outdoor cooking.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U.S. Tariff Developments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political and economic environment is dynamic and uncertain, as the current U.S. Administration has imposed tariffs such as Section 301 and Section 232 of the Trade Act, modified and paused tariffs, and granted exemptions from tariffs, on different countries and products multiple times recently.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U.S. Administration imposed a series of tariffs on nearly all U.S. trading partners pursuant to the International Emergency Economic Powers Act of 1977 (“IEEPA”). On February 20, 2026, the United States Supreme Court issued a ruling striking down tariffs previously imposed under IEEPA. Immediately following the Supreme Court ruling, the U.S. government initiated new tariffs under Section 122 of the Trade Act ("Section 122 tariffs") which have been in effect since February 24, 2026. We continue to monitor and evaluate these developments and assess their potential impact on our business,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the U.S. Court of International Trade ("CIT") issued an order directing U.S. Customs and Border Protection ("CBP") to process refunds of certain IEEPA tariffs. In April 2026, CBP released a new system to process IEEPA tariff refunds, allowing importers to submit refund claims. We believe it is probable that we will recover the IEEPA tariffs previously paid and have recognized IEEPA tariff refund receivables under the loss recovery accounting model. Accordingly, we recorded a receivable of $15.2 million as of April 30, 2026 and an additional receivable of $693,000 for new claims submitted during the three months ended July 31, 2026. As of July 31, 2026, we have received $14.2 million in cash related to these receivables and have a remaining receivable of $1.7 million, which was recorded in other current assets.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during the three months ended July 31, 2026, we recognized a net benefit of approximately $200,000 related to expected recoveries of previously paid IEEPA tariffs, which was recorded as a reduction of cost of goods sold, representing the expense for IEEPA tariffs on inventory sold to customers prior to April 30,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ultimate timing and amount of recoveries for our outstanding receivables and potential future claims remain subject to review and processing by governmental authorities and could be affected by future legal, regulatory, or administrative developments. In addition, there continues to be uncertainty regarding existing and proposed tariff regimes, including the potential imposition, modification, suspension, or invalidation of tariffs under various statutory authorities. We continue to monitor tariff-related developments and assess their potential impact on its business, financial condition, and results of operations.</w:t>
      </w:r>
    </w:p>
    <w:p>
      <w:pPr>
        <w:pStyle w:val="TextBody"/>
        <w:bidi w:val="0"/>
        <w:spacing w:before="0" w:after="120"/>
        <w:ind w:left="0" w:right="0" w:firstLine="720"/>
        <w:jc w:val="both"/>
        <w:rPr/>
      </w:pPr>
      <w:r>
        <w:rPr/>
      </w:r>
    </w:p>
    <w:p>
      <w:pPr>
        <w:pStyle w:val="TextBody"/>
        <w:bidi w:val="0"/>
        <w:spacing w:before="0" w:after="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First Quarter Fiscal 2027 Highlights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results for the three months ended July 31, 2026 included the following:</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Net sales were $37.3 million, an increase of $7.6 million or 25.4%, from the comparable quarter last year.</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Gross margin was 53.0%, an increase of 630 basis points, over the comparable quarter last year.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Net loss was $1.5 million, or $(0.12) per diluted share, compared with a net loss of $6.8 million, or $(0.54) per diluted share, for the comparable quarter last year.</w:t>
      </w:r>
    </w:p>
    <w:p>
      <w:pPr>
        <w:pStyle w:val="TextBody"/>
        <w:bidi w:val="0"/>
        <w:spacing w:lineRule="auto" w:line="288" w:before="0" w:after="240"/>
        <w:ind w:left="0" w:right="0" w:hanging="450"/>
        <w:jc w:val="both"/>
        <w:rPr/>
      </w:pPr>
      <w:r>
        <w:rPr>
          <w:color w:val="000000"/>
        </w:rPr>
        <w:t>•</w:t>
      </w:r>
      <w:r>
        <w:rPr>
          <w:rFonts w:ascii="Times New Roman;serif" w:hAnsi="Times New Roman;serif"/>
          <w:b w:val="false"/>
          <w:color w:val="000000"/>
          <w:sz w:val="20"/>
        </w:rPr>
        <w:t xml:space="preserve">Non-GAAP Adjusted EBITDA was $1.2 million for the three months ended July 31, 2026 compared with a loss of $3.1 million for the three months ended July 31, 2025. See non-GAAP financial measure disclosures below for our reconciliation of non-GAAP Adjusted EBITDA. </w:t>
      </w:r>
    </w:p>
    <w:p>
      <w:pPr>
        <w:pStyle w:val="TextBody"/>
        <w:bidi w:val="0"/>
        <w:spacing w:before="0" w:after="12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Sales and Gross Profit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consolidated net sales and gross profit for the three months ended July 31, 2026 and 2025 (dollars in thousands):</w:t>
      </w:r>
    </w:p>
    <w:tbl>
      <w:tblPr>
        <w:tblW w:w="7763" w:type="dxa"/>
        <w:jc w:val="left"/>
        <w:tblInd w:w="0" w:type="dxa"/>
        <w:tblLayout w:type="fixed"/>
        <w:tblCellMar>
          <w:top w:w="28" w:type="dxa"/>
          <w:left w:w="28" w:type="dxa"/>
          <w:bottom w:w="28" w:type="dxa"/>
          <w:right w:w="28" w:type="dxa"/>
        </w:tblCellMar>
      </w:tblPr>
      <w:tblGrid>
        <w:gridCol w:w="881"/>
        <w:gridCol w:w="770"/>
        <w:gridCol w:w="77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33"/>
        <w:gridCol w:w="233"/>
        <w:gridCol w:w="544"/>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19,735 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13,858 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net sales categories for the three months ended July 31, 2026 and 2025 (dollars in thousands):</w:t>
      </w:r>
    </w:p>
    <w:tbl>
      <w:tblPr>
        <w:tblW w:w="7244" w:type="dxa"/>
        <w:jc w:val="left"/>
        <w:tblInd w:w="0" w:type="dxa"/>
        <w:tblLayout w:type="fixed"/>
        <w:tblCellMar>
          <w:top w:w="28" w:type="dxa"/>
          <w:left w:w="28" w:type="dxa"/>
          <w:bottom w:w="28" w:type="dxa"/>
          <w:right w:w="28" w:type="dxa"/>
        </w:tblCellMar>
      </w:tblPr>
      <w:tblGrid>
        <w:gridCol w:w="808"/>
        <w:gridCol w:w="711"/>
        <w:gridCol w:w="71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Shooting sports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Outdoor lifestyle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trade channel net sales for the three months ended July 31, 2026 and 2025 (dollars in thousands):</w:t>
      </w:r>
    </w:p>
    <w:tbl>
      <w:tblPr>
        <w:tblW w:w="7604" w:type="dxa"/>
        <w:jc w:val="left"/>
        <w:tblInd w:w="0" w:type="dxa"/>
        <w:tblLayout w:type="fixed"/>
        <w:tblCellMar>
          <w:top w:w="28" w:type="dxa"/>
          <w:left w:w="28" w:type="dxa"/>
          <w:bottom w:w="28" w:type="dxa"/>
          <w:right w:w="28" w:type="dxa"/>
        </w:tblCellMar>
      </w:tblPr>
      <w:tblGrid>
        <w:gridCol w:w="940"/>
        <w:gridCol w:w="826"/>
        <w:gridCol w:w="82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 channels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channels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e-commerce channels include net sales from customers that do not traditionally operate physical brick and mortar stores, but generate the majority of their revenue from consumer purchases from their retail websites. Our e-commerce channels also include our direct-to-consumer sales. Our traditional channels include customers that primarily operate out of physical brick-and-mortar stores and generate the large majority of revenue from consumer purchases in their brick-and-mortar locations. We sell our products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geographic makeup of net sales included in the above table for the three months ended July 31, 2026 and 2025 (dollars in thousands):</w:t>
      </w:r>
    </w:p>
    <w:tbl>
      <w:tblPr>
        <w:tblW w:w="6914" w:type="dxa"/>
        <w:jc w:val="left"/>
        <w:tblInd w:w="0" w:type="dxa"/>
        <w:tblLayout w:type="fixed"/>
        <w:tblCellMar>
          <w:top w:w="28" w:type="dxa"/>
          <w:left w:w="28" w:type="dxa"/>
          <w:bottom w:w="28" w:type="dxa"/>
          <w:right w:w="28" w:type="dxa"/>
        </w:tblCellMar>
      </w:tblPr>
      <w:tblGrid>
        <w:gridCol w:w="691"/>
        <w:gridCol w:w="606"/>
        <w:gridCol w:w="6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544"/>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34,795 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July 31, 2026, total net sales increased $7.6 million, or 25.4%, from the comparable quarter last year. We believe the increase in net sales was primarily attributable to the timing of orders from certain customers in our traditional channel. In the prior year, we believe these customers accelerated orders that otherwise would have occurred in the first fiscal quarter of 2026 into the fourth fiscal quarter of 2025 in anticipation of increased costs associated with tariffs imposed by the U.S. administration in March and April 2025. As a result, net sales in the first fiscal quarter of 2026 were reduced by these accelerated orders, while the first fiscal quarter of 2027 did not experience a comparable shift in order timing. In addition to the impact of order timing on the year-over-year comparison, net sales increased as a result of pricing actions taken on our products to mitigate additional tariff costs associated with tariffs imposed by the U.S. Administration starting in March and April of 2025; higher sales to two of our largest retailers, including our largest e-commerce retailer and our largest mass retailer; as well as higher direct-to-consumer sales of products sold through our own websites. Our international net sales increased $606,000, or 32.7%, over the comparable quarter last year as a result of increased sales to our European and Canadian customers. </w:t>
      </w:r>
    </w:p>
    <w:p>
      <w:pPr>
        <w:pStyle w:val="TextBody"/>
        <w:bidi w:val="0"/>
        <w:spacing w:before="0" w:after="0"/>
        <w:ind w:left="0" w:right="0" w:firstLine="126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our shooting sports channel increased $2.1 million, or 15.3%, over the comparable quarter last year, primarily because of higher net sales of shotgun sports products within our shooting accessories category, which benefited from new product sales, partially offset by lower net sales of aiming solutions products within our personal protection category as a result of lower demand.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our outdoor lifestyle channel increased $5.4 million, or 34.4%, over the comparable quarter last year, which reflected higher net sales of our hunting, fishing, rugged outdoor, and outdoor cooking categories, which also benefited from new product sales.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products, which we define as any SKU introduced over the trailing 24 months, represented 36.1% of net sales for the three months ended July 31, 2026. New products represented 28.8% of net sales for the three months ended July 31, 2025.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July 31, 2026 increased 630 basis points over the comparable quarter last year, primarily because of new product sales that typically have higher gross margins, pricing actions mentioned above, favorable channel mix, and lower tariff expenses.</w:t>
      </w:r>
    </w:p>
    <w:p>
      <w:pPr>
        <w:pStyle w:val="TextBody"/>
        <w:bidi w:val="0"/>
        <w:spacing w:before="0" w:after="240"/>
        <w:ind w:left="0" w:right="0" w:firstLine="126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operating expenses for the three months ended July 31, 2026 and 2025 (dollars in thousands):</w:t>
      </w:r>
    </w:p>
    <w:tbl>
      <w:tblPr>
        <w:tblW w:w="8407" w:type="dxa"/>
        <w:jc w:val="left"/>
        <w:tblInd w:w="0" w:type="dxa"/>
        <w:tblLayout w:type="fixed"/>
        <w:tblCellMar>
          <w:top w:w="28" w:type="dxa"/>
          <w:left w:w="28" w:type="dxa"/>
          <w:bottom w:w="28" w:type="dxa"/>
          <w:right w:w="28" w:type="dxa"/>
        </w:tblCellMar>
      </w:tblPr>
      <w:tblGrid>
        <w:gridCol w:w="1093"/>
        <w:gridCol w:w="958"/>
        <w:gridCol w:w="96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63"/>
        <w:gridCol w:w="263"/>
        <w:gridCol w:w="544"/>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27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marketing, and distribution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21,851 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20,677 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4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$403,000 from the comparable quarter last year, primarily from lower depreciation expense. Selling, marketing, and distribution expenses increased $1.8 million over the comparable quarter last year mainly because of higher sales-volume related expenses. General and administrative expenses decreased $181,000 from the comparable quarter last year, primarily because of lower bad debt expense and acquired intangible asset amortization, partially offset by higher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Loss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operating loss for the three months ended July 31, 2026 and 2025 (dollars in thousands):</w:t>
      </w:r>
    </w:p>
    <w:tbl>
      <w:tblPr>
        <w:tblW w:w="7653" w:type="dxa"/>
        <w:jc w:val="left"/>
        <w:tblInd w:w="0" w:type="dxa"/>
        <w:tblLayout w:type="fixed"/>
        <w:tblCellMar>
          <w:top w:w="28" w:type="dxa"/>
          <w:left w:w="28" w:type="dxa"/>
          <w:bottom w:w="28" w:type="dxa"/>
          <w:right w:w="28" w:type="dxa"/>
        </w:tblCellMar>
      </w:tblPr>
      <w:tblGrid>
        <w:gridCol w:w="1010"/>
        <w:gridCol w:w="887"/>
        <w:gridCol w:w="893"/>
        <w:gridCol w:w="227"/>
        <w:gridCol w:w="197"/>
        <w:gridCol w:w="493"/>
        <w:gridCol w:w="109"/>
        <w:gridCol w:w="109"/>
        <w:gridCol w:w="109"/>
        <w:gridCol w:w="283"/>
        <w:gridCol w:w="243"/>
        <w:gridCol w:w="493"/>
        <w:gridCol w:w="109"/>
        <w:gridCol w:w="109"/>
        <w:gridCol w:w="109"/>
        <w:gridCol w:w="211"/>
        <w:gridCol w:w="616"/>
        <w:gridCol w:w="109"/>
        <w:gridCol w:w="109"/>
        <w:gridCol w:w="109"/>
        <w:gridCol w:w="109"/>
        <w:gridCol w:w="233"/>
        <w:gridCol w:w="233"/>
        <w:gridCol w:w="54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 (operating margin)</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loss for the three months ended July 31, 2026 was $4.7 million lower as compared to the comparable quarter last year primarily from higher net sales volume and higher gross profit.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income tax benefit for the three months ended July 31, 2026 and 2025 (dollars in thousands):</w:t>
      </w:r>
    </w:p>
    <w:tbl>
      <w:tblPr>
        <w:tblW w:w="8197" w:type="dxa"/>
        <w:jc w:val="left"/>
        <w:tblInd w:w="0" w:type="dxa"/>
        <w:tblLayout w:type="fixed"/>
        <w:tblCellMar>
          <w:top w:w="28" w:type="dxa"/>
          <w:left w:w="28" w:type="dxa"/>
          <w:bottom w:w="28" w:type="dxa"/>
          <w:right w:w="28" w:type="dxa"/>
        </w:tblCellMar>
      </w:tblPr>
      <w:tblGrid>
        <w:gridCol w:w="1440"/>
        <w:gridCol w:w="1263"/>
        <w:gridCol w:w="1272"/>
        <w:gridCol w:w="228"/>
        <w:gridCol w:w="118"/>
        <w:gridCol w:w="271"/>
        <w:gridCol w:w="109"/>
        <w:gridCol w:w="109"/>
        <w:gridCol w:w="109"/>
        <w:gridCol w:w="277"/>
        <w:gridCol w:w="144"/>
        <w:gridCol w:w="331"/>
        <w:gridCol w:w="109"/>
        <w:gridCol w:w="109"/>
        <w:gridCol w:w="109"/>
        <w:gridCol w:w="241"/>
        <w:gridCol w:w="436"/>
        <w:gridCol w:w="125"/>
        <w:gridCol w:w="109"/>
        <w:gridCol w:w="109"/>
        <w:gridCol w:w="109"/>
        <w:gridCol w:w="263"/>
        <w:gridCol w:w="263"/>
        <w:gridCol w:w="544"/>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2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of income from operations (effective tax rate)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income tax expense of $1,000 for the three months ended July 31, 2026 compared with income tax expense of $52,000 for the prior year comparable period. The income tax expense recorded for the three months ended July 31, 2026 and 2025 was primarily due to a full valuation allowance recorded against our deferred tax assets.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Loss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net loss and the related per share data for the three months ended July 31, 2026 and 2025 (dollars in thousands, except per share data):</w:t>
      </w:r>
    </w:p>
    <w:tbl>
      <w:tblPr>
        <w:tblW w:w="6494" w:type="dxa"/>
        <w:jc w:val="left"/>
        <w:tblInd w:w="0" w:type="dxa"/>
        <w:tblLayout w:type="fixed"/>
        <w:tblCellMar>
          <w:top w:w="28" w:type="dxa"/>
          <w:left w:w="28" w:type="dxa"/>
          <w:bottom w:w="28" w:type="dxa"/>
          <w:right w:w="28" w:type="dxa"/>
        </w:tblCellMar>
      </w:tblPr>
      <w:tblGrid>
        <w:gridCol w:w="561"/>
        <w:gridCol w:w="489"/>
        <w:gridCol w:w="495"/>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33"/>
        <w:gridCol w:w="233"/>
        <w:gridCol w:w="544"/>
      </w:tblGrid>
      <w:tr>
        <w:trPr/>
        <w:tc>
          <w:tcPr>
            <w:tcW w:w="56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5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was $1.5 million, or $0.12 loss per diluted share, for the three months ended July 31, 2026 compared with a net loss of $6.8 million, or $0.54 loss per diluted share, for the comparable quarter last year. The lower net loss was primarily related to higher net sales volume and higher gross profit during the three months ended July 31, 2026 as compared to the three months ended July 31, 2025.</w:t>
      </w:r>
    </w:p>
    <w:p>
      <w:pPr>
        <w:pStyle w:val="TextBody"/>
        <w:bidi w:val="0"/>
        <w:spacing w:before="0" w:after="24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GAAP net income as our primary financial measure. We use Adjusted EBITDA,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 is defined as GAAP net income/(loss) before interest, taxes, depreciation, amortization, and stock compensation expense. Our Adjusted EBITDA calculation also excludes certain items we consider non-routine. We believe that Adjusted EBITDA is useful to understanding our operating results and the ongoing performance of our underlying business, as Adjusted EBITDA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 is useful to investors because it is frequently used by analysts, investors, and other interested parties to evaluate companies in our industry. We use Adjusted EBITDA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private. We also use Adjusted EBITDA to supplement GAAP measures of performance to evaluate our performance in connection with compensation decisions. We believe it is useful to investors and analysts to evaluate this non-GAAP measure on the same basis as we use to evaluate our operating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 Our presentation of Adjusted EBITDA should not be construed as an inference that our future results will be unaffected by these items.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calculation of non-GAAP Adjusted EBITDA for the three months ended July 31, 2026 and 2025, respectively (dollars in thousands):</w:t>
      </w:r>
    </w:p>
    <w:tbl>
      <w:tblPr>
        <w:tblW w:w="7015" w:type="dxa"/>
        <w:jc w:val="left"/>
        <w:tblInd w:w="0" w:type="dxa"/>
        <w:tblLayout w:type="fixed"/>
        <w:tblCellMar>
          <w:top w:w="28" w:type="dxa"/>
          <w:left w:w="28" w:type="dxa"/>
          <w:bottom w:w="28" w:type="dxa"/>
          <w:right w:w="28" w:type="dxa"/>
        </w:tblCellMar>
      </w:tblPr>
      <w:tblGrid>
        <w:gridCol w:w="937"/>
        <w:gridCol w:w="827"/>
        <w:gridCol w:w="830"/>
        <w:gridCol w:w="109"/>
        <w:gridCol w:w="109"/>
        <w:gridCol w:w="250"/>
        <w:gridCol w:w="250"/>
        <w:gridCol w:w="484"/>
        <w:gridCol w:w="1586"/>
        <w:gridCol w:w="250"/>
        <w:gridCol w:w="109"/>
        <w:gridCol w:w="109"/>
        <w:gridCol w:w="109"/>
        <w:gridCol w:w="211"/>
        <w:gridCol w:w="691"/>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July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25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utilize our cash flows to invest in our business, including research and development for new product initiatives; to hire additional employees; to fund growth strategies, including any potential acquisitions; to make payments on any indebtedness we may incur over time; and to repurchase shares of our common stock if we are authorized to do so.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cash flow information for the three months ended July 31, 2026 and 2025 (dollars in thousands):</w:t>
      </w:r>
    </w:p>
    <w:tbl>
      <w:tblPr>
        <w:tblW w:w="6929" w:type="dxa"/>
        <w:jc w:val="left"/>
        <w:tblInd w:w="0" w:type="dxa"/>
        <w:tblLayout w:type="fixed"/>
        <w:tblCellMar>
          <w:top w:w="28" w:type="dxa"/>
          <w:left w:w="28" w:type="dxa"/>
          <w:bottom w:w="28" w:type="dxa"/>
          <w:right w:w="28" w:type="dxa"/>
        </w:tblCellMar>
      </w:tblPr>
      <w:tblGrid>
        <w:gridCol w:w="630"/>
        <w:gridCol w:w="553"/>
        <w:gridCol w:w="557"/>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85"/>
        <w:gridCol w:w="286"/>
        <w:gridCol w:w="54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872.5</w:t>
            </w:r>
          </w:p>
        </w:tc>
        <w:tc>
          <w:tcPr>
            <w:tcW w:w="5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C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544" w:type="dxa"/>
            <w:tcBorders/>
            <w:shd w:fill="CCEC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flow</w:t>
            </w:r>
          </w:p>
        </w:tc>
        <w:tc>
          <w:tcPr>
            <w:tcW w:w="21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09"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(5,652)</w:t>
            </w:r>
          </w:p>
        </w:tc>
        <w:tc>
          <w:tcPr>
            <w:tcW w:w="109"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17,491 </w:t>
            </w:r>
          </w:p>
        </w:tc>
        <w:tc>
          <w:tcPr>
            <w:tcW w:w="109"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w:t>
            </w:r>
          </w:p>
        </w:tc>
        <w:tc>
          <w:tcPr>
            <w:tcW w:w="544" w:type="dxa"/>
            <w:tcBorders>
              <w:top w:val="single" w:sz="4"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an annual basis, operating activities generally represent the principal source of our cash flow.</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was $13.0 million for the three months ended July 31, 2026 compared with cash used in operating activities of $1.7 million for the three months ended July 31, 2025. Cash provided by operating activities for the three months ended July 31, 2026 was primarily impacted by $12.6 million of lower other current assets as a result of receiving $14.2 million of IEEPA refunds during the quarter for claims filed at the end of our prior fiscal year, $3.7 million of reduced accounts receivable due to timing of customer shipments, $2.1 million of increased accrued expenses for higher tariff and professional fees accruals, and $1.8 million of higher accounts payable due to timing of inventory purchases. The increase in cash from operations was partially offset by $8.4 million of increased inventory.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 xml:space="preserve">increase in inventory was a result of planned increase in purchases to prepare for the fall and winter hunting and holiday seasons as well as new product launches later in the fiscal year.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$494,000 during the three months ended July 31, 2026 for payments on capital expenditures, an increase of $124,000 as compared to the prior year comparable period. We expect to spend approximately $3.5 million to $4.0 million of capital expenditures in fiscal 2027, an increase of $1.0 million to $1.5 million from the $2.5 million we spent in fiscal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$706,000 for the three months ended July 31, 2026 which consisted of payments of employee withholding tax related to vested restricted stock units.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any acquisitions or strategic investments that we may determine to make, and changes in consumer spending, which is sensitive to economic conditions and other factors.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$33.3 million of cash equivalents on hand as of July 31, 2026 and had $21.4 million in cash and cash equivalents on hand as of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Critical Accounting Policies</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GAAP requires us to make estimates and assumptions that affect the reported amounts of assets and liabilities at the date of the financial statements and the reported amounts of net sales and expenses during the reporting periods. Significant accounting policies are summarized in Note 2 of the Notes to the consolidated and combined financial statements in our Annual Report on Form 10-K for the fiscal year ended April 30, 2026. Our critical accounting policies are described in Management’s Discussion and Analysis of Financial Condition and Results of Operations in our Annual Report on Form 10-K for the fiscal year ended April 30, 2026, to which there have been no material changes. Actual results could differ from our estimates.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360"/>
        <w:ind w:left="0" w:right="0" w:firstLine="720"/>
        <w:jc w:val="both"/>
        <w:rPr/>
      </w:pPr>
      <w:r>
        <w:rPr>
          <w:rFonts w:ascii="Times New Roman;serif" w:hAnsi="Times New Roman;serif"/>
          <w:b w:val="false"/>
          <w:color w:val="000000"/>
          <w:sz w:val="20"/>
        </w:rPr>
        <w:t xml:space="preserve">The nature and impact of recent accounting pronouncements, if any, is discussed in Note </w:t>
      </w:r>
      <w:r>
        <w:rPr>
          <w:rFonts w:ascii="Times New Roman;serif" w:hAnsi="Times New Roman;serif"/>
          <w:b w:val="false"/>
          <w:i/>
          <w:color w:val="000000"/>
          <w:sz w:val="20"/>
        </w:rPr>
        <w:t>2—Basis of Presentation</w:t>
      </w:r>
      <w:r>
        <w:rPr>
          <w:color w:val="000000"/>
        </w:rPr>
        <w:t xml:space="preserve"> </w:t>
      </w:r>
      <w:r>
        <w:rPr>
          <w:rFonts w:ascii="Times New Roman;serif" w:hAnsi="Times New Roman;serif"/>
          <w:b w:val="false"/>
          <w:color w:val="000000"/>
          <w:sz w:val="20"/>
        </w:rPr>
        <w:t>to our condensed consolidated financial statements included elsewhere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from the information provided in Quantitative and Qualitative Disclosures about Market Risk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our Chief Executive Officer and Chief Financial Officer evaluated the effectiveness of the design and operation of our disclosure controls and procedures (as defined in Rule 13a-15(e) under the Exchange Act) and have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we file or submit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accumulated and communicated to management, including the Chief Executive Officer and Chief Financial Officer, as appropriate to allow timely decisions regarding required disclosure.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our most recent fiscal quarter ended July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0" w:after="360"/>
        <w:ind w:left="0" w:right="0" w:firstLine="720"/>
        <w:jc w:val="both"/>
        <w:rPr/>
      </w:pPr>
      <w:r>
        <w:rPr>
          <w:rFonts w:ascii="Times New Roman;serif" w:hAnsi="Times New Roman;serif"/>
          <w:b w:val="false"/>
          <w:color w:val="000000"/>
          <w:sz w:val="20"/>
        </w:rPr>
        <w:t xml:space="preserve">The nature of legal proceedings against us is discussed in Note 13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condensed consolidated financial statements included elsewhere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on Form 10-K, filed with the SEC on June 25, 2026, risk factors that materially affect our business, financial condition, or results of operations. There have been no material changes from the risk factors previously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25, 2024, our Board of Directors approved a program to purchase up to $10.0 million of our common stock, subject to certain conditions, in the open market, in block purchases, or in privately negotiated transactions. This authorization expired on September 30, 2025. On September 30, 2025, our Board of Directors authorized the repurchase of up to $10.0 million of our common stock, subject to certain conditions in the open market, in block purchases, or in privately negotiated transactions, commencing on October 1, 2025 and executable through September 30, 2026. During the three months ended July 31, 2026, there were no repurchases under this plan and we have $8.1 million of available funds to repurchase our common stock under the current authorization.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31, 2026, none of our directors or officers adopted or terminated a "Rule 10b5-1 trading arrangement" or a "non-Rule 10b5-1 trading arrangement" (in each case,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0" w:after="24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The exhibits listed on the Index to Exhibits (immediately preceding the signatures section of this Quarterly Report on Form 10-Q) are included herewith or incorporated herein by reference.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72"/>
        <w:gridCol w:w="231"/>
        <w:gridCol w:w="232"/>
        <w:gridCol w:w="2819"/>
        <w:gridCol w:w="2741"/>
        <w:gridCol w:w="3910"/>
      </w:tblGrid>
      <w:tr>
        <w:trPr/>
        <w:tc>
          <w:tcPr>
            <w:tcW w:w="2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out-20260731xex311.htm">
              <w:r>
                <w:rPr>
                  <w:rStyle w:val="InternetLink"/>
                  <w:rFonts w:ascii="Times New Roman;serif" w:hAnsi="Times New Roman;serif"/>
                  <w:b w:val="false"/>
                  <w:color w:val="0000FF"/>
                  <w:sz w:val="20"/>
                  <w:u w:val="single"/>
                </w:rPr>
                <w:t>Rule 13a-14(a)/15d-14(a) Certification of Principal Executive Officer</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out-20260731xex312.htm">
              <w:r>
                <w:rPr>
                  <w:rStyle w:val="InternetLink"/>
                  <w:rFonts w:ascii="Times New Roman;serif" w:hAnsi="Times New Roman;serif"/>
                  <w:b w:val="false"/>
                  <w:color w:val="0000FF"/>
                  <w:sz w:val="20"/>
                  <w:u w:val="single"/>
                </w:rPr>
                <w:t>Rule 13a-14(a)/15d-14(a) Certification of Principal Financial Officer</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out-20260731xex321.htm">
              <w:r>
                <w:rPr>
                  <w:rStyle w:val="InternetLink"/>
                  <w:rFonts w:ascii="Times New Roman;serif" w:hAnsi="Times New Roman;serif"/>
                  <w:b w:val="false"/>
                  <w:color w:val="0000FF"/>
                  <w:sz w:val="20"/>
                  <w:u w:val="single"/>
                </w:rPr>
                <w:t>Section 1350 Certification of Principal Executive Officer</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out-20260731xex322.htm">
              <w:r>
                <w:rPr>
                  <w:rStyle w:val="InternetLink"/>
                  <w:rFonts w:ascii="Times New Roman;serif" w:hAnsi="Times New Roman;serif"/>
                  <w:b w:val="false"/>
                  <w:color w:val="0000FF"/>
                  <w:sz w:val="20"/>
                  <w:u w:val="single"/>
                </w:rPr>
                <w:t>Section 1350 Certification of Principal Financial Officer</w:t>
              </w:r>
            </w:hyperlink>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9be42240d22b4c28a311a09376cbecb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25" w:type="dxa"/>
        <w:jc w:val="left"/>
        <w:tblInd w:w="0" w:type="dxa"/>
        <w:tblLayout w:type="fixed"/>
        <w:tblCellMar>
          <w:top w:w="28" w:type="dxa"/>
          <w:left w:w="28" w:type="dxa"/>
          <w:bottom w:w="28" w:type="dxa"/>
          <w:right w:w="28" w:type="dxa"/>
        </w:tblCellMar>
      </w:tblPr>
      <w:tblGrid>
        <w:gridCol w:w="764"/>
        <w:gridCol w:w="673"/>
        <w:gridCol w:w="677"/>
        <w:gridCol w:w="542"/>
        <w:gridCol w:w="542"/>
        <w:gridCol w:w="542"/>
        <w:gridCol w:w="1214"/>
        <w:gridCol w:w="1214"/>
        <w:gridCol w:w="175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OUTDOOR BRANDS, INC.,</w:t>
              <w:br/>
              <w:t>a Delaware corporation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1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1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br/>
              <w:t>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Brian D. Murphy, certify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American Outdoor Brands, Inc.;</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5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948"/>
        <w:gridCol w:w="948"/>
        <w:gridCol w:w="134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H. Andrew Fulmer, certify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American Outdoor Brands, Inc.;</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702"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221"/>
        <w:gridCol w:w="1221"/>
        <w:gridCol w:w="174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br/>
              <w:t>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American Outdoor Brands, Inc. (the “Company”) on Form 10-Q for the period ended July 31, 2026 as filed with the Securities and Exchange Commission on the date hereof (the “Report”), I, Brian D. Murphy, the President and Chief Executive Officer of the Company, certify, pursuant to 18 U.S.C. § 1350, as adopted pursuant to § 906 of the Sarbanes-Oxley Act of 2002,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5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948"/>
        <w:gridCol w:w="948"/>
        <w:gridCol w:w="134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Brian D. Murphy</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on Form 10-Q to which it relates, is not deemed filed with the Securities and Exchange Commission, and is not to be incorporated by reference into any filing of American Outdoor Brands,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American Outdoor Brands, Inc. (the “Company”) on Form 10-Q for the period ended July 31, 2026 as filed with the Securities and Exchange Commission on the date hereof (the “Report”), I, H. Andrew Fulmer, the Executive Vice President, Chief Financial Officer, and Treasurer of the Company, certify, pursuant to 18 U.S.C. § 1350, as adopted pursuant to § 906 of the Sarbanes-Oxley Act of 2002, that:</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702"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221"/>
        <w:gridCol w:w="1221"/>
        <w:gridCol w:w="1742"/>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 Andrew Fulmer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br/>
              <w:t>Chief Financial Officer, Treasurer, and Secretary</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Quarterly Report on Form 10-Q to which it relates, is not deemed filed with the Securities and Exchange Commission, and is not to be incorporated by reference into any filing of American Outdoor Brands, Inc. under the Securities Act of 1933, as amended, or the Securities Exchange Act of 1934, as amended (whether made before or after the date of the Quarterly Report on Form 10-Q), irrespective of any general incorporation language contained in such filing.c</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14787</Words>
  <Characters>82042</Characters>
  <CharactersWithSpaces>95751</CharactersWithSpaces>
  <Paragraphs>1553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