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jc w:val="right"/>
        <w:rPr/>
      </w:pPr>
      <w:bookmarkStart w:id="0" w:name="aout_defa_14a_2026.htm"/>
      <w:bookmarkStart w:id="1" w:name="ksaout_defa_14a_2026"/>
      <w:bookmarkEnd w:id="0"/>
      <w:bookmarkEnd w:id="1"/>
      <w:r>
        <w:rPr/>
        <w:t> </w:t>
      </w:r>
    </w:p>
    <w:p>
      <w:pPr>
        <w:pStyle w:val="TextBody"/>
        <w:pBdr>
          <w:top w:val="double" w:sz="6" w:space="1" w:color="000000"/>
        </w:pBdr>
        <w:bidi w:val="0"/>
        <w:spacing w:lineRule="atLeast" w:line="200"/>
        <w:jc w:val="both"/>
        <w:rPr/>
      </w:pPr>
      <w:r>
        <w:rPr/>
        <w:t> </w:t>
      </w:r>
    </w:p>
    <w:p>
      <w:pPr>
        <w:pStyle w:val="TextBody"/>
        <w:bidi w:val="0"/>
        <w:spacing w:lineRule="atLeast" w:line="240"/>
        <w:jc w:val="center"/>
        <w:rPr>
          <w:rFonts w:ascii="Acumin Pro Light;sans-serif" w:hAnsi="Acumin Pro Light;sans-serif"/>
          <w:b/>
          <w:color w:val="091F2C"/>
          <w:sz w:val="28"/>
        </w:rPr>
      </w:pPr>
      <w:r>
        <w:rPr>
          <w:rFonts w:ascii="Acumin Pro Light;sans-serif" w:hAnsi="Acumin Pro Light;sans-serif"/>
          <w:b/>
          <w:color w:val="091F2C"/>
          <w:sz w:val="28"/>
        </w:rPr>
        <w:t>UNITED STATES</w:t>
      </w:r>
    </w:p>
    <w:p>
      <w:pPr>
        <w:pStyle w:val="TextBody"/>
        <w:bidi w:val="0"/>
        <w:spacing w:lineRule="atLeast" w:line="240" w:before="120" w:after="283"/>
        <w:jc w:val="center"/>
        <w:rPr>
          <w:rFonts w:ascii="Acumin Pro Light;sans-serif" w:hAnsi="Acumin Pro Light;sans-serif"/>
          <w:b/>
          <w:color w:val="091F2C"/>
          <w:sz w:val="28"/>
        </w:rPr>
      </w:pPr>
      <w:r>
        <w:rPr>
          <w:rFonts w:ascii="Acumin Pro Light;sans-serif" w:hAnsi="Acumin Pro Light;sans-serif"/>
          <w:b/>
          <w:color w:val="091F2C"/>
          <w:sz w:val="28"/>
        </w:rPr>
        <w:t>SECURITIES AND EXCHANGE COMMISSION</w:t>
      </w:r>
    </w:p>
    <w:p>
      <w:pPr>
        <w:pStyle w:val="TextBody"/>
        <w:bidi w:val="0"/>
        <w:spacing w:lineRule="atLeast" w:line="240" w:before="120" w:after="283"/>
        <w:jc w:val="center"/>
        <w:rPr>
          <w:rFonts w:ascii="Acumin Pro Light;sans-serif" w:hAnsi="Acumin Pro Light;sans-serif"/>
          <w:b/>
          <w:color w:val="091F2C"/>
          <w:sz w:val="24"/>
        </w:rPr>
      </w:pPr>
      <w:r>
        <w:rPr>
          <w:rFonts w:ascii="Acumin Pro Light;sans-serif" w:hAnsi="Acumin Pro Light;sans-serif"/>
          <w:b/>
          <w:color w:val="091F2C"/>
          <w:sz w:val="24"/>
        </w:rPr>
        <w:t>Washington, D.C. 20549</w:t>
      </w:r>
    </w:p>
    <w:p>
      <w:pPr>
        <w:pStyle w:val="TextBody"/>
        <w:bidi w:val="0"/>
        <w:spacing w:lineRule="atLeast" w:line="400" w:before="120" w:after="283"/>
        <w:jc w:val="center"/>
        <w:rPr>
          <w:rFonts w:ascii="Acumin Pro Light;sans-serif" w:hAnsi="Acumin Pro Light;sans-serif"/>
          <w:b/>
          <w:color w:val="091F2C"/>
          <w:sz w:val="36"/>
        </w:rPr>
      </w:pPr>
      <w:r>
        <w:rPr>
          <w:rFonts w:ascii="Acumin Pro Light;sans-serif" w:hAnsi="Acumin Pro Light;sans-serif"/>
          <w:b/>
          <w:color w:val="091F2C"/>
          <w:sz w:val="36"/>
        </w:rPr>
        <w:t>SCHEDULE 14A</w:t>
      </w:r>
    </w:p>
    <w:p>
      <w:pPr>
        <w:pStyle w:val="TextBody"/>
        <w:bidi w:val="0"/>
        <w:spacing w:lineRule="atLeast" w:line="240" w:before="120" w:after="283"/>
        <w:jc w:val="center"/>
        <w:rPr>
          <w:rFonts w:ascii="Acumin Pro Light;sans-serif" w:hAnsi="Acumin Pro Light;sans-serif"/>
          <w:b/>
          <w:color w:val="091F2C"/>
          <w:sz w:val="24"/>
        </w:rPr>
      </w:pPr>
      <w:r>
        <w:rPr>
          <w:rFonts w:ascii="Acumin Pro Light;sans-serif" w:hAnsi="Acumin Pro Light;sans-serif"/>
          <w:b/>
          <w:color w:val="091F2C"/>
          <w:sz w:val="24"/>
        </w:rPr>
        <w:t>Proxy Statement Pursuant to Section 14(a) of the Securities</w:t>
      </w:r>
    </w:p>
    <w:p>
      <w:pPr>
        <w:pStyle w:val="TextBody"/>
        <w:bidi w:val="0"/>
        <w:spacing w:lineRule="atLeast" w:line="240" w:before="120" w:after="283"/>
        <w:jc w:val="center"/>
        <w:rPr>
          <w:rFonts w:ascii="Acumin Pro Light;sans-serif" w:hAnsi="Acumin Pro Light;sans-serif"/>
          <w:b/>
          <w:color w:val="091F2C"/>
          <w:sz w:val="24"/>
        </w:rPr>
      </w:pPr>
      <w:r>
        <w:rPr>
          <w:rFonts w:ascii="Acumin Pro Light;sans-serif" w:hAnsi="Acumin Pro Light;sans-serif"/>
          <w:b/>
          <w:color w:val="091F2C"/>
          <w:sz w:val="24"/>
        </w:rPr>
        <w:t>Exchange Act of 1934 (Amendment No. )</w:t>
      </w:r>
    </w:p>
    <w:p>
      <w:pPr>
        <w:pStyle w:val="TextBody"/>
        <w:bidi w:val="0"/>
        <w:spacing w:lineRule="atLeast" w:line="240" w:before="200" w:after="283"/>
        <w:jc w:val="both"/>
        <w:rPr>
          <w:rFonts w:ascii="Acumin Pro Light" w:hAnsi="Acumin Pro Light"/>
          <w:sz w:val="18"/>
        </w:rPr>
      </w:pPr>
      <w:r>
        <w:rPr>
          <w:rFonts w:ascii="Acumin Pro Light;sans-serif" w:hAnsi="Acumin Pro Light;sans-serif"/>
          <w:color w:val="091F2C"/>
          <w:sz w:val="20"/>
        </w:rPr>
        <w:t xml:space="preserve">Filed by the Registrant </w:t>
      </w:r>
      <w:r>
        <w:rPr>
          <w:rFonts w:ascii="Acumin Pro Light" w:hAnsi="Acumin Pro Light"/>
          <w:color w:val="091F2C"/>
          <w:sz w:val="18"/>
        </w:rPr>
        <w:t>☒</w:t>
      </w:r>
    </w:p>
    <w:p>
      <w:pPr>
        <w:pStyle w:val="TextBody"/>
        <w:bidi w:val="0"/>
        <w:spacing w:lineRule="atLeast" w:line="240" w:before="200" w:after="283"/>
        <w:jc w:val="both"/>
        <w:rPr>
          <w:rFonts w:ascii="Acumin Pro Light" w:hAnsi="Acumin Pro Light"/>
          <w:sz w:val="18"/>
        </w:rPr>
      </w:pPr>
      <w:r>
        <w:rPr>
          <w:rFonts w:ascii="Acumin Pro Light;sans-serif" w:hAnsi="Acumin Pro Light;sans-serif"/>
          <w:color w:val="091F2C"/>
          <w:sz w:val="20"/>
        </w:rPr>
        <w:t xml:space="preserve">Filed by a Party other than the Registrant </w:t>
      </w:r>
      <w:r>
        <w:rPr>
          <w:rFonts w:ascii="Acumin Pro Light" w:hAnsi="Acumin Pro Light"/>
          <w:color w:val="091F2C"/>
          <w:sz w:val="18"/>
        </w:rPr>
        <w:t>☐</w:t>
      </w:r>
    </w:p>
    <w:p>
      <w:pPr>
        <w:pStyle w:val="TextBody"/>
        <w:bidi w:val="0"/>
        <w:spacing w:lineRule="atLeast" w:line="240" w:before="200" w:after="283"/>
        <w:jc w:val="both"/>
        <w:rPr>
          <w:rFonts w:ascii="Acumin Pro Light" w:hAnsi="Acumin Pro Light"/>
          <w:sz w:val="18"/>
        </w:rPr>
      </w:pPr>
      <w:r>
        <w:rPr>
          <w:rFonts w:ascii="Acumin Pro Light;sans-serif" w:hAnsi="Acumin Pro Light;sans-serif"/>
          <w:color w:val="091F2C"/>
          <w:sz w:val="20"/>
        </w:rPr>
        <w:t>Check the appropriate box:</w:t>
      </w:r>
      <w:r>
        <w:rPr>
          <w:rFonts w:ascii="Acumin Pro Light" w:hAnsi="Acumin Pro Light"/>
          <w:color w:val="091F2C"/>
          <w:sz w:val="18"/>
        </w:rPr>
        <w:t xml:space="preserve"> </w:t>
      </w:r>
    </w:p>
    <w:p>
      <w:pPr>
        <w:pStyle w:val="TextBody"/>
        <w:bidi w:val="0"/>
        <w:spacing w:lineRule="atLeast" w:line="200"/>
        <w:jc w:val="both"/>
        <w:rPr/>
      </w:pPr>
      <w:r>
        <w:rPr/>
        <w:t> </w:t>
      </w:r>
    </w:p>
    <w:tbl>
      <w:tblPr>
        <w:tblW w:w="9332" w:type="dxa"/>
        <w:jc w:val="left"/>
        <w:tblInd w:w="0" w:type="dxa"/>
        <w:tblLayout w:type="fixed"/>
        <w:tblCellMar>
          <w:top w:w="28" w:type="dxa"/>
          <w:left w:w="28" w:type="dxa"/>
          <w:bottom w:w="28" w:type="dxa"/>
          <w:right w:w="28" w:type="dxa"/>
        </w:tblCellMar>
      </w:tblPr>
      <w:tblGrid>
        <w:gridCol w:w="331"/>
        <w:gridCol w:w="9001"/>
      </w:tblGrid>
      <w:tr>
        <w:trPr/>
        <w:tc>
          <w:tcPr>
            <w:tcW w:w="331"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91F2C"/>
                <w:sz w:val="20"/>
              </w:rPr>
            </w:pPr>
            <w:r>
              <w:rPr>
                <w:rFonts w:ascii="Acumin Pro Light;sans-serif" w:hAnsi="Acumin Pro Light;sans-serif"/>
                <w:color w:val="091F2C"/>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b/>
                <w:color w:val="091F2C"/>
                <w:sz w:val="20"/>
              </w:rPr>
            </w:pPr>
            <w:r>
              <w:rPr>
                <w:rFonts w:ascii="Acumin Pro Light;sans-serif" w:hAnsi="Acumin Pro Light;sans-serif"/>
                <w:b/>
                <w:color w:val="091F2C"/>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91F2C"/>
                <w:sz w:val="20"/>
              </w:rPr>
            </w:pPr>
            <w:r>
              <w:rPr>
                <w:rFonts w:ascii="Acumin Pro Light;sans-serif" w:hAnsi="Acumin Pro Light;sans-serif"/>
                <w:color w:val="091F2C"/>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91F2C"/>
                <w:sz w:val="20"/>
              </w:rPr>
            </w:pPr>
            <w:r>
              <w:rPr>
                <w:rFonts w:ascii="Acumin Pro Light;sans-serif" w:hAnsi="Acumin Pro Light;sans-serif"/>
                <w:color w:val="091F2C"/>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91F2C"/>
                <w:sz w:val="20"/>
              </w:rPr>
            </w:pPr>
            <w:r>
              <w:rPr>
                <w:rFonts w:ascii="Acumin Pro Light;sans-serif" w:hAnsi="Acumin Pro Light;sans-serif"/>
                <w:color w:val="091F2C"/>
                <w:sz w:val="20"/>
              </w:rPr>
              <w:t>Soliciting Material Pursuant to § 240.14a-12</w:t>
            </w:r>
          </w:p>
        </w:tc>
      </w:tr>
    </w:tbl>
    <w:p>
      <w:pPr>
        <w:pStyle w:val="TextBody"/>
        <w:bidi w:val="0"/>
        <w:spacing w:lineRule="atLeast" w:line="200"/>
        <w:jc w:val="both"/>
        <w:rPr/>
      </w:pPr>
      <w:r>
        <w:rPr/>
        <w:t> </w:t>
      </w:r>
    </w:p>
    <w:p>
      <w:pPr>
        <w:pStyle w:val="TextBody"/>
        <w:bidi w:val="0"/>
        <w:spacing w:lineRule="atLeast" w:line="440"/>
        <w:jc w:val="center"/>
        <w:rPr>
          <w:rFonts w:ascii="Acumin Pro Light;sans-serif" w:hAnsi="Acumin Pro Light;sans-serif"/>
          <w:b/>
          <w:color w:val="000000"/>
          <w:sz w:val="40"/>
        </w:rPr>
      </w:pPr>
      <w:r>
        <w:rPr>
          <w:rFonts w:ascii="Acumin Pro Light;sans-serif" w:hAnsi="Acumin Pro Light;sans-serif"/>
          <w:b/>
          <w:color w:val="000000"/>
          <w:sz w:val="40"/>
        </w:rPr>
        <w:t>American Outdoor Brands, Inc.</w:t>
      </w:r>
    </w:p>
    <w:p>
      <w:pPr>
        <w:pStyle w:val="TextBody"/>
        <w:pBdr>
          <w:bottom w:val="single" w:sz="6" w:space="1" w:color="000000"/>
        </w:pBdr>
        <w:bidi w:val="0"/>
        <w:spacing w:lineRule="atLeast" w:line="142"/>
        <w:jc w:val="both"/>
        <w:rPr/>
      </w:pPr>
      <w:r>
        <w:rPr/>
        <w:t> </w:t>
      </w:r>
    </w:p>
    <w:p>
      <w:pPr>
        <w:pStyle w:val="TextBody"/>
        <w:bidi w:val="0"/>
        <w:spacing w:lineRule="atLeast" w:line="240" w:before="60" w:after="283"/>
        <w:jc w:val="center"/>
        <w:rPr>
          <w:rFonts w:ascii="Acumin Pro Light;sans-serif" w:hAnsi="Acumin Pro Light;sans-serif"/>
          <w:color w:val="000000"/>
          <w:sz w:val="20"/>
        </w:rPr>
      </w:pPr>
      <w:r>
        <w:rPr>
          <w:rFonts w:ascii="Acumin Pro Light;sans-serif" w:hAnsi="Acumin Pro Light;sans-serif"/>
          <w:color w:val="000000"/>
          <w:sz w:val="20"/>
        </w:rPr>
        <w:t>(Name of Registrant as Specified in its Charter)</w:t>
      </w:r>
    </w:p>
    <w:p>
      <w:pPr>
        <w:pStyle w:val="TextBody"/>
        <w:pBdr>
          <w:bottom w:val="single" w:sz="6" w:space="1" w:color="000000"/>
        </w:pBdr>
        <w:bidi w:val="0"/>
        <w:spacing w:lineRule="atLeast" w:line="142"/>
        <w:jc w:val="both"/>
        <w:rPr/>
      </w:pPr>
      <w:r>
        <w:rPr/>
        <w:t> </w:t>
      </w:r>
    </w:p>
    <w:p>
      <w:pPr>
        <w:pStyle w:val="TextBody"/>
        <w:bidi w:val="0"/>
        <w:spacing w:lineRule="atLeast" w:line="240" w:before="120" w:after="283"/>
        <w:jc w:val="center"/>
        <w:rPr>
          <w:rFonts w:ascii="Arial" w:hAnsi="Arial"/>
          <w:color w:val="091F2C"/>
          <w:sz w:val="20"/>
        </w:rPr>
      </w:pPr>
      <w:r>
        <w:rPr>
          <w:rFonts w:ascii="Arial" w:hAnsi="Arial"/>
          <w:color w:val="091F2C"/>
          <w:sz w:val="20"/>
        </w:rPr>
        <w:t>(Name of Person(s) Filing Proxy Statement, if Other Than the Registrant)</w:t>
      </w:r>
    </w:p>
    <w:p>
      <w:pPr>
        <w:pStyle w:val="TextBody"/>
        <w:bidi w:val="0"/>
        <w:spacing w:lineRule="atLeast" w:line="240" w:before="200" w:after="283"/>
        <w:jc w:val="both"/>
        <w:rPr>
          <w:rFonts w:ascii="Acumin Pro Light" w:hAnsi="Acumin Pro Light"/>
          <w:sz w:val="18"/>
        </w:rPr>
      </w:pPr>
      <w:r>
        <w:rPr>
          <w:rFonts w:ascii="Acumin Pro Light;sans-serif" w:hAnsi="Acumin Pro Light;sans-serif"/>
          <w:color w:val="000000"/>
          <w:sz w:val="20"/>
        </w:rPr>
        <w:t>Payment of Filing Fee (Check the appropriate box):</w:t>
      </w:r>
      <w:r>
        <w:rPr>
          <w:rFonts w:ascii="Acumin Pro Light" w:hAnsi="Acumin Pro Light"/>
          <w:color w:val="000000"/>
          <w:sz w:val="18"/>
        </w:rPr>
        <w:t xml:space="preserve"> </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rFonts w:ascii="Acumin Pro Light;sans-serif" w:hAnsi="Acumin Pro Light;sans-serif"/>
                <w:color w:val="000000"/>
                <w:sz w:val="20"/>
              </w:rPr>
            </w:pPr>
            <w:r>
              <w:rPr>
                <w:rFonts w:ascii="Acumin Pro Light;sans-serif" w:hAnsi="Acumin Pro Light;sans-serif"/>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rFonts w:ascii="Acumin Pro Light;sans-serif" w:hAnsi="Acumin Pro Light;sans-serif"/>
                <w:color w:val="000000"/>
                <w:sz w:val="20"/>
              </w:rPr>
            </w:pPr>
            <w:r>
              <w:rPr>
                <w:rFonts w:ascii="Acumin Pro Light;sans-serif" w:hAnsi="Acumin Pro Light;sans-serif"/>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rFonts w:ascii="Acumin Pro Light;sans-serif" w:hAnsi="Acumin Pro Light;sans-serif"/>
                <w:color w:val="000000"/>
                <w:sz w:val="20"/>
              </w:rPr>
            </w:pPr>
            <w:r>
              <w:rPr>
                <w:rFonts w:ascii="Acumin Pro Light;sans-serif" w:hAnsi="Acumin Pro Light;sans-serif"/>
                <w:color w:val="000000"/>
                <w:sz w:val="20"/>
              </w:rPr>
              <w:t>Fee computed on table in exhibit required by Item 25(b) per Exchange Act Rules 14a-6(i)(1) and 0-11</w:t>
            </w:r>
          </w:p>
        </w:tc>
      </w:tr>
    </w:tbl>
    <w:p>
      <w:pPr>
        <w:pStyle w:val="TextBody"/>
        <w:pBdr>
          <w:bottom w:val="double" w:sz="6" w:space="1" w:color="000000"/>
        </w:pBdr>
        <w:bidi w:val="0"/>
        <w:spacing w:lineRule="atLeast" w:line="240"/>
        <w:jc w:val="both"/>
        <w:rPr/>
      </w:pPr>
      <w:r>
        <w:rPr/>
        <w:t> </w:t>
      </w:r>
    </w:p>
    <w:p>
      <w:pPr>
        <w:pStyle w:val="HorizontalLine"/>
        <w:pBdr>
          <w:bottom w:val="double" w:sz="2" w:space="0" w:color="808080"/>
        </w:pBdr>
        <w:bidi w:val="0"/>
        <w:spacing w:before="0" w:after="283"/>
        <w:jc w:val="left"/>
        <w:rPr/>
      </w:pPr>
      <w:r>
        <w:rPr/>
      </w:r>
    </w:p>
    <w:p>
      <w:pPr>
        <w:pStyle w:val="TextBody"/>
        <w:bidi w:val="0"/>
        <w:spacing w:lineRule="atLeast" w:line="200"/>
        <w:jc w:val="both"/>
        <w:rPr/>
      </w:pPr>
      <w:r>
        <w:rPr/>
        <w:t> </w:t>
      </w:r>
    </w:p>
    <w:p>
      <w:pPr>
        <w:pStyle w:val="TextBody"/>
        <w:bidi w:val="0"/>
        <w:spacing w:lineRule="auto" w:line="273"/>
        <w:jc w:val="both"/>
        <w:rPr/>
      </w:pPr>
      <w:r>
        <w:rPr/>
        <w:t> </w:t>
      </w:r>
    </w:p>
    <w:p>
      <w:pPr>
        <w:pStyle w:val="TextBody"/>
        <w:bidi w:val="0"/>
        <w:spacing w:lineRule="auto" w:line="273"/>
        <w:jc w:val="center"/>
        <w:rPr/>
      </w:pPr>
      <w:r>
        <w:rPr/>
        <w:drawing>
          <wp:inline distT="0" distB="0" distL="0" distR="0">
            <wp:extent cx="6629400" cy="857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29400" cy="8572500"/>
                    </a:xfrm>
                    <a:prstGeom prst="rect">
                      <a:avLst/>
                    </a:prstGeom>
                  </pic:spPr>
                </pic:pic>
              </a:graphicData>
            </a:graphic>
          </wp:inline>
        </w:drawing>
      </w:r>
    </w:p>
    <w:p>
      <w:pPr>
        <w:pStyle w:val="TextBody"/>
        <w:bidi w:val="0"/>
        <w:spacing w:lineRule="auto" w:line="273"/>
        <w:jc w:val="both"/>
        <w:rPr>
          <w:rFonts w:ascii="Times New Roman" w:hAnsi="Times New Roman"/>
          <w:color w:val="FFFFFF"/>
          <w:sz w:val="2"/>
        </w:rPr>
      </w:pPr>
      <w:r>
        <w:rPr>
          <w:rFonts w:ascii="Times New Roman" w:hAnsi="Times New Roman"/>
          <w:color w:val="FFFFFF"/>
          <w:sz w:val="2"/>
        </w:rPr>
        <w:t>Your Vote Counts! AMERICAN OUTDOOR BRANDS, INC. 2026 Annual Meeting Vote by September 27, 2026 11:59 PM ET AMERICAN OUTDOOR BRANDS, INC. AMERICAN OUTDOOR BRANDS, INC. 1800 NORTH ROUTE Z COLUMBIA, MO 65202 T02450-P55947 You invested in AMERICAN OUTDOOR BRANDS, INC. and it’s time to vote! You have the right to vote on proposals being presented at the Annual Meeting. This is an important notice regarding the availability of proxy materials for the stockholder meeting to be held on September 28, 2026. Get informed before you vote View the Notice and Proxy Statement and Annual Report online OR you can receive a free paper or email copy of the material(s) by requesting prior to September 14,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September 28, 2026 12:00 PM Eastern Time Virtually at: www.virtualshareholdermeeting.com/AOUT2026 *Please check the meeting materials for any special requirements for meeting attendance.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00"/>
        <w:jc w:val="right"/>
        <w:rPr/>
      </w:pPr>
      <w:r>
        <w:rPr/>
        <w:t> </w:t>
      </w:r>
    </w:p>
    <w:p>
      <w:pPr>
        <w:pStyle w:val="TextBody"/>
        <w:bidi w:val="0"/>
        <w:spacing w:lineRule="auto" w:line="273"/>
        <w:jc w:val="both"/>
        <w:rPr/>
      </w:pPr>
      <w:r>
        <w:rPr/>
        <w:t> </w:t>
      </w:r>
    </w:p>
    <w:p>
      <w:pPr>
        <w:pStyle w:val="TextBody"/>
        <w:bidi w:val="0"/>
        <w:spacing w:lineRule="auto" w:line="273"/>
        <w:jc w:val="center"/>
        <w:rPr/>
      </w:pPr>
      <w:r>
        <w:rPr/>
        <w:drawing>
          <wp:inline distT="0" distB="0" distL="0" distR="0">
            <wp:extent cx="6629400" cy="857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29400" cy="8572500"/>
                    </a:xfrm>
                    <a:prstGeom prst="rect">
                      <a:avLst/>
                    </a:prstGeom>
                  </pic:spPr>
                </pic:pic>
              </a:graphicData>
            </a:graphic>
          </wp:inline>
        </w:drawing>
      </w:r>
    </w:p>
    <w:p>
      <w:pPr>
        <w:pStyle w:val="TextBody"/>
        <w:bidi w:val="0"/>
        <w:spacing w:lineRule="auto" w:line="273"/>
        <w:jc w:val="both"/>
        <w:rPr>
          <w:rFonts w:ascii="Acumin Pro Light" w:hAnsi="Acumin Pro Light"/>
          <w:sz w:val="18"/>
        </w:rPr>
      </w:pPr>
      <w:r>
        <w:rPr>
          <w:rFonts w:ascii="Times New Roman" w:hAnsi="Times New Roman"/>
          <w:color w:val="FFFFFF"/>
          <w:sz w:val="2"/>
        </w:rPr>
        <w:t>Vote at www.ProxyVote.com THIS IS NOT A VOTABLE BALLOTThis is an overview of the proposals being presented at the upcoming stockholder meeting. Please follow the instructions on the reverse side to vote these important matters. Board Recommends Voting Items 1. PROPOSAL 1: ELECTION OF DIRECTORS: To elect as directors each of the nominees listed below to serve until their successors are elected and qualified at the 2027 Annual Meeting of Stockholders, subject to their earlier death, resignation, disqualification, or removal. Nominees: 1a. Barry M. Monheit For 1b. Bradley T. Favreau For 1c. Mary E. Gallagher For 1d. Gregory J. Gluchowski For 1e. Kevin D. Leary For 1f. Luis G. Marconi For 1g. Brian D. Murphy For 2. PROPOSAL 2: To ratify the appointment of Grant Thornton LLP, an independent registered public accounting firm, as the independent registered public accountant of the Company for the fiscal year ending April 30, 2027. For 3. PROPOSAL 3: To approve, on a non-binding advisory basis, the compensation paid to the Company’s named executive officers for fiscal year 2026, as disclosed in the proxy statement (a "say-on-pay" vote). For 4. PROPOSAL 4: To approve, on a non-binding advisory basis, the frequency of future say-on-pay votes (a "say-on-frequency" vote). 1 Year NOTE: Such other business as may properly come before the meeting or any adjournment thereof. Prefer to receive an email instead? While voting on www.ProxyVote.com, be sure to click “Delivery Settings”. T02451-P55947</w:t>
      </w:r>
      <w:r>
        <w:rPr>
          <w:rFonts w:ascii="Acumin Pro Light" w:hAnsi="Acumin Pro Light"/>
          <w:color w:val="FFFFFF"/>
          <w:sz w:val="18"/>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cumin Pro Light">
    <w:altName w:val="sans-serif"/>
    <w:charset w:val="01"/>
    <w:family w:val="auto"/>
    <w:pitch w:val="default"/>
  </w:font>
  <w:font w:name="Acumin Pro Light">
    <w:charset w:val="01"/>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3234</Characters>
  <CharactersWithSpaces>3832</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