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Outdoor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ANDREW FREEDMAN,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CAPITAL,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503,281.00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503,281.00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503,281.00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Jet Capital,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42,043.00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42,043.00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42,043.00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Capital Management,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545,324.00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545,324.00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545,324.00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Capital Management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545,324.00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545,324.00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545,324.00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Investments,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545,324.00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545,324.00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545,324.00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Ajdler Arnaud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BELGIUM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545,324.00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545,324.00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545,324.00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BRADLEY T. FAVREAU</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62,182.00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62,182.00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62,182.00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Outdoor Brands,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NORTH ROUTE Z, SUITE A, COLUMBIA, MISSOURI , 65202.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1 to the Schedule 13D filed by the undersigned ("Amendment No. 1"). This Amendment No. 1 amends the Schedule 13D as specifically set forth herein. Unless otherwise defined herein, all capitalized terms used herein shall have the meanings given to them in the Schedule 13D.</w:t>
            </w:r>
          </w:p>
        </w:tc>
      </w:tr>
      <w:tr>
        <w:trPr/>
        <w:tc>
          <w:tcPr>
            <w:tcW w:w="1171" w:type="dxa"/>
            <w:tcBorders/>
            <w:vAlign w:val="center"/>
          </w:tcPr>
          <w:p>
            <w:pPr>
              <w:pStyle w:val="TableContents"/>
              <w:bidi w:val="0"/>
              <w:spacing w:before="0" w:after="283"/>
              <w:jc w:val="left"/>
              <w:rPr/>
            </w:pPr>
            <w:r>
              <w:rPr/>
              <w:t>Item 3.</w:t>
            </w:r>
          </w:p>
        </w:tc>
        <w:tc>
          <w:tcPr>
            <w:tcW w:w="887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Item 3 is hereby amended and restated as follows: The Shares purchased by each of Engine Capital and Engine Jet were purchased with working capital (which may, at any given time, include margin loans made by brokerage firms in the ordinary course of business). The aggregate purchase price of the 503,281 Shares beneficially owned by Engine Capital is approximately $6,261,880, including brokerage commissions. The aggregate purchase price of the 42,043 Shares beneficially owned by Engine Jet is approximately $527,910, including brokerage commissions. Of the 62,182 Shares beneficially owned by Mr. Favreau, (i) 12,620 Shares were purchased with personal funds in open market purchases for an aggregate purchase price of $110,261, including brokerage commissions, and (ii) 54,266 RSUs were awarded to him for his service as a director of the Issuer, 49,562 of which have vested or will vest within 60 days of the date hereof. The remainder of Mr. Favreau's RSUs vest as described in Item 6 hereof.</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Item 5(a) is hereby amended and restated as follows: The aggregate percentage of Shares reported owned by each person named herein is based upon 12,621,225 Shares outstanding as of August 31, 2026, which is the total number of Shares outstanding as reported in the Issuer's Quarterly Report on Form 10-Q filed with the Securities and Exchange Commission on September 3, 2026. A. Engine Capital As of the date hereof, Engine Capital directly owned 503,281 Shares. Percentage: Approximately 4.0% B. Engine Jet As of the date hereof, Engine Jet directly owned 42,043 Shares. Percentage: 0.3% C. Engine Management Engine Management, as the investment manager of each of Engine Capital and Engine Jet, may be deemed to beneficially own the 545,324 Shares owned in the aggregate by Engine Capital and Engine Jet. Percentage: Approximately 4.3% D. Engine GP Engine GP, as the general partner of Engine Management, may be deemed to beneficially own the 545,324 Shares owned in the aggregate by Engine Capital and Engine Jet. Percentage: Approximately 4.3% E. Engine Investments Engine Investments, as the general partner of each of Engine Capital and Engine Jet, may be deemed to beneficially own the 545,324 Shares owned in the aggregate by Engine Capital and Engine Jet. Percentage: Approximately 4.3% F. Arnaud Ajdler Mr. Ajdler, as the managing partner of Engine Management and the managing member of each of Engine GP and Engine Investments, may be deemed to beneficially own the 545,324 Shares owned in the aggregate by Engine Capital and Engine Jet. Percentage: Approximately 4.3% G. Bradley T. Favreau As of the date hereof, Mr. Favreau beneficially owned 62,182 Shares. Percentage: 0.5%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0"/>
              <w:jc w:val="left"/>
              <w:rPr/>
            </w:pPr>
            <w:r>
              <w:rPr/>
              <w:t>Item 5(b) is hereby amended and restated as follows: A. Engine Capital 1. Sole power to vote or direct vote: 503,281 2. Shared power to vote or direct vote: 0 3. Sole power to dispose or direct the disposition: 503,281 4. Shared power to dispose or direct the disposition: 0 B. Engine Jet 1. Sole power to vote or direct vote: 42,043 2. Shared power to vote or direct vote: 0 3. Sole power to dispose or direct the disposition: 42,043 4. Shared power to dispose or direct the disposition: 0 C. Engine Management 1. Sole power to vote or direct vote: 545,324 2. Shared power to vote or direct vote: 0 3. Sole power to dispose or direct the disposition: 545,324 4. Shared power to dispose or direct the disposition: 0 D. Engine GP 1. Sole power to vote or direct vote: 545,324 2. Shared power to vote or direct vote: 0 3. Sole power to dispose or direct the disposition: 545,324 4. Shared power to dispose or direct the disposition: 0 E. Engine Investments 1. Sole power to vote or direct vote: 545,324 2. Shared power to vote or direct vote: 0 3. Sole power to dispose or direct the disposition: 545,324 4. Shared power to dispose or direct the disposition: 0 F. Arnaud Ajdler 1. Sole power to vote or direct vote: 545,324 2. Shared power to vote or direct vote: 0 3. Sole power to dispose or direct the disposition: 545,324 4. Shared power to dispose or direct the disposition: 0 G. Bradley T. Favreau 1. Sole power to vote or direct vote: 62,182 2. Shared power to vote or direct vote: 0 3. Sole power to dispose or direct the disposition: 62,182 4. Shared power to dispose or direct the disposition: 0</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0"/>
              <w:jc w:val="left"/>
              <w:rPr/>
            </w:pPr>
            <w:r>
              <w:rPr/>
              <w:t>Item 5(c) is hereby amended and restated as follows: The transactions in the Shares by certain of the Reporting Persons during the past sixty days are set forth on Exhibit 1 attached hereto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0"/>
              <w:jc w:val="left"/>
              <w:rPr/>
            </w:pPr>
            <w:r>
              <w:rPr/>
              <w:t>Item 5(e) is hereby amended and restated as follows: As of October 5, 2026, the Reporting Persons ceased to beneficially own 5% or more of the Shares.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6.</w:t>
            </w:r>
          </w:p>
        </w:tc>
        <w:tc>
          <w:tcPr>
            <w:tcW w:w="887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Item 6 is hereby amended to add the following: On September 28, 2026, Mr. Favreau was awarded 6,272 RSUs, 1/12th of which shall vest on the last day of each month following the date of grant. Of the 6,272 RSUs, 1,568 have vested or will vest within 60 days of the date hereof. As set forth in Mr. Favreau's Form 4 filings with respect to the Issuer, Mr. Favreau has received certain other awards in connection with his service as a director of the Issuer, all of which has vested.</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Item 7 is hereby amended to add the following exhibit: 1 - Transactions in Securities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ENGINE CAPITAL, L.P.</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Arnaud Ajdler</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Arnaud Ajdler, Managing Member of Engine Investments, LLC, its General Partner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Engine Jet Capital, L.P.</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Arnaud Ajdler</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Arnaud Ajdler, Managing Member of Engine Investments, LLC, its General Partner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Engine Capital Management,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Arnaud Ajdler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Arnaud Ajdler, Managing Member of Engine Capital Management GP, LLC, its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Engine Capital Management GP, LLC</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Arnaud Ajdler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Arnaud Ajdler,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Engine Investments,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Arnaud Ajdler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Arnaud Ajdler,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Ajdler Arnaud</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Arnaud Ajdler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Arnaud Ajdler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BRADLEY T. FAVREAU</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Bradley T. Favreau</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Bradley T. Favreau</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8" w:name="ex113da109488043_10072026.htm"/>
      <w:bookmarkStart w:id="39" w:name="ksex113da109488043_10072026"/>
      <w:bookmarkEnd w:id="38"/>
      <w:bookmarkEnd w:id="39"/>
      <w:r>
        <w:rPr>
          <w:rFonts w:ascii="Times New Roman;Times;Serif" w:hAnsi="Times New Roman;Times;Serif"/>
          <w:b w:val="false"/>
          <w:i w:val="false"/>
          <w:caps w:val="false"/>
          <w:smallCaps w:val="false"/>
          <w:sz w:val="20"/>
        </w:rPr>
        <w:t>Exhibit 1</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in the Shares of the Issuer During the Past Sixty Days</w:t>
      </w:r>
    </w:p>
    <w:p>
      <w:pPr>
        <w:pStyle w:val="TextBody"/>
        <w:bidi w:val="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105"/>
        <w:gridCol w:w="2030"/>
        <w:gridCol w:w="1790"/>
        <w:gridCol w:w="2120"/>
      </w:tblGrid>
      <w:tr>
        <w:trPr/>
        <w:tc>
          <w:tcPr>
            <w:tcW w:w="2105" w:type="dxa"/>
            <w:tcBorders/>
            <w:vAlign w:val="center"/>
          </w:tcPr>
          <w:p>
            <w:pPr>
              <w:pStyle w:val="TableContents"/>
              <w:bidi w:val="0"/>
              <w:spacing w:before="0" w:after="283"/>
              <w:jc w:val="center"/>
              <w:rPr>
                <w:u w:val="single"/>
              </w:rPr>
            </w:pPr>
            <w:r>
              <w:rPr>
                <w:u w:val="single"/>
              </w:rPr>
              <w:t>Nature of Transaction</w:t>
            </w:r>
          </w:p>
        </w:tc>
        <w:tc>
          <w:tcPr>
            <w:tcW w:w="2030" w:type="dxa"/>
            <w:tcBorders/>
            <w:vAlign w:val="center"/>
          </w:tcPr>
          <w:p>
            <w:pPr>
              <w:pStyle w:val="TableContents"/>
              <w:bidi w:val="0"/>
              <w:spacing w:before="0" w:after="283"/>
              <w:jc w:val="center"/>
              <w:rPr/>
            </w:pPr>
            <w:r>
              <w:rPr/>
              <w:t>Amount of Securities</w:t>
            </w:r>
            <w:r>
              <w:rPr>
                <w:u w:val="single"/>
              </w:rPr>
              <w:br/>
              <w:t>Purchased/(Sold)</w:t>
            </w:r>
          </w:p>
        </w:tc>
        <w:tc>
          <w:tcPr>
            <w:tcW w:w="1790" w:type="dxa"/>
            <w:tcBorders/>
            <w:vAlign w:val="center"/>
          </w:tcPr>
          <w:p>
            <w:pPr>
              <w:pStyle w:val="TableContents"/>
              <w:bidi w:val="0"/>
              <w:spacing w:before="0" w:after="283"/>
              <w:jc w:val="center"/>
              <w:rPr>
                <w:u w:val="single"/>
              </w:rPr>
            </w:pPr>
            <w:r>
              <w:rPr>
                <w:u w:val="single"/>
              </w:rPr>
              <w:t>Price per Share ($)</w:t>
            </w:r>
          </w:p>
        </w:tc>
        <w:tc>
          <w:tcPr>
            <w:tcW w:w="2120" w:type="dxa"/>
            <w:tcBorders/>
            <w:vAlign w:val="center"/>
          </w:tcPr>
          <w:p>
            <w:pPr>
              <w:pStyle w:val="TableContents"/>
              <w:bidi w:val="0"/>
              <w:spacing w:before="0" w:after="283"/>
              <w:jc w:val="center"/>
              <w:rPr>
                <w:u w:val="single"/>
              </w:rPr>
            </w:pPr>
            <w:r>
              <w:rPr>
                <w:u w:val="single"/>
              </w:rPr>
              <w:t>Date of Purchase/Sale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ENGINE CAPITAL, L.P.</w:t>
      </w:r>
    </w:p>
    <w:p>
      <w:pPr>
        <w:pStyle w:val="TextBody"/>
        <w:bidi w:val="0"/>
        <w:jc w:val="center"/>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2240"/>
        <w:gridCol w:w="830"/>
        <w:gridCol w:w="800"/>
        <w:gridCol w:w="1115"/>
      </w:tblGrid>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(13,221)</w:t>
            </w:r>
          </w:p>
        </w:tc>
        <w:tc>
          <w:tcPr>
            <w:tcW w:w="800" w:type="dxa"/>
            <w:tcBorders/>
            <w:shd w:fill="CCEEFF" w:val="clear"/>
            <w:vAlign w:val="center"/>
          </w:tcPr>
          <w:p>
            <w:pPr>
              <w:pStyle w:val="TableContents"/>
              <w:bidi w:val="0"/>
              <w:spacing w:before="0" w:after="283"/>
              <w:jc w:val="center"/>
              <w:rPr/>
            </w:pPr>
            <w:r>
              <w:rPr/>
              <w:t>16.3961</w:t>
            </w:r>
          </w:p>
        </w:tc>
        <w:tc>
          <w:tcPr>
            <w:tcW w:w="1115" w:type="dxa"/>
            <w:tcBorders/>
            <w:shd w:fill="CCEEFF" w:val="clear"/>
            <w:vAlign w:val="center"/>
          </w:tcPr>
          <w:p>
            <w:pPr>
              <w:pStyle w:val="TableContents"/>
              <w:bidi w:val="0"/>
              <w:spacing w:before="0" w:after="283"/>
              <w:jc w:val="center"/>
              <w:rPr/>
            </w:pPr>
            <w:r>
              <w:rPr/>
              <w:t>10/02/2026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(22,611)</w:t>
            </w:r>
          </w:p>
        </w:tc>
        <w:tc>
          <w:tcPr>
            <w:tcW w:w="800" w:type="dxa"/>
            <w:tcBorders/>
            <w:shd w:fill="FFFFFF" w:val="clear"/>
            <w:vAlign w:val="center"/>
          </w:tcPr>
          <w:p>
            <w:pPr>
              <w:pStyle w:val="TableContents"/>
              <w:bidi w:val="0"/>
              <w:spacing w:before="0" w:after="283"/>
              <w:jc w:val="center"/>
              <w:rPr/>
            </w:pPr>
            <w:r>
              <w:rPr/>
              <w:t>16.3302</w:t>
            </w:r>
          </w:p>
        </w:tc>
        <w:tc>
          <w:tcPr>
            <w:tcW w:w="1115" w:type="dxa"/>
            <w:tcBorders/>
            <w:shd w:fill="FFFFFF" w:val="clear"/>
            <w:vAlign w:val="center"/>
          </w:tcPr>
          <w:p>
            <w:pPr>
              <w:pStyle w:val="TableContents"/>
              <w:bidi w:val="0"/>
              <w:spacing w:before="0" w:after="283"/>
              <w:jc w:val="center"/>
              <w:rPr/>
            </w:pPr>
            <w:r>
              <w:rPr/>
              <w:t>10/05/2026</w:t>
            </w:r>
          </w:p>
        </w:tc>
      </w:tr>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(6,029)</w:t>
            </w:r>
          </w:p>
        </w:tc>
        <w:tc>
          <w:tcPr>
            <w:tcW w:w="800" w:type="dxa"/>
            <w:tcBorders/>
            <w:shd w:fill="CCEEFF" w:val="clear"/>
            <w:vAlign w:val="center"/>
          </w:tcPr>
          <w:p>
            <w:pPr>
              <w:pStyle w:val="TableContents"/>
              <w:bidi w:val="0"/>
              <w:spacing w:before="0" w:after="283"/>
              <w:jc w:val="center"/>
              <w:rPr/>
            </w:pPr>
            <w:r>
              <w:rPr/>
              <w:t>16.2638</w:t>
            </w:r>
          </w:p>
        </w:tc>
        <w:tc>
          <w:tcPr>
            <w:tcW w:w="1115" w:type="dxa"/>
            <w:tcBorders/>
            <w:shd w:fill="CCEEFF" w:val="clear"/>
            <w:vAlign w:val="center"/>
          </w:tcPr>
          <w:p>
            <w:pPr>
              <w:pStyle w:val="TableContents"/>
              <w:bidi w:val="0"/>
              <w:spacing w:before="0" w:after="283"/>
              <w:jc w:val="center"/>
              <w:rPr/>
            </w:pPr>
            <w:r>
              <w:rPr/>
              <w:t>10/06/2026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(11,482)</w:t>
            </w:r>
          </w:p>
        </w:tc>
        <w:tc>
          <w:tcPr>
            <w:tcW w:w="800" w:type="dxa"/>
            <w:tcBorders/>
            <w:shd w:fill="FFFFFF" w:val="clear"/>
            <w:vAlign w:val="center"/>
          </w:tcPr>
          <w:p>
            <w:pPr>
              <w:pStyle w:val="TableContents"/>
              <w:bidi w:val="0"/>
              <w:spacing w:before="0" w:after="283"/>
              <w:jc w:val="center"/>
              <w:rPr/>
            </w:pPr>
            <w:r>
              <w:rPr/>
              <w:t>16.1779</w:t>
            </w:r>
          </w:p>
        </w:tc>
        <w:tc>
          <w:tcPr>
            <w:tcW w:w="1115" w:type="dxa"/>
            <w:tcBorders/>
            <w:shd w:fill="FFFFFF" w:val="clear"/>
            <w:vAlign w:val="center"/>
          </w:tcPr>
          <w:p>
            <w:pPr>
              <w:pStyle w:val="TableContents"/>
              <w:bidi w:val="0"/>
              <w:spacing w:before="0" w:after="283"/>
              <w:jc w:val="center"/>
              <w:rPr/>
            </w:pPr>
            <w:r>
              <w:rPr/>
              <w:t>10/07/2026</w:t>
            </w:r>
          </w:p>
        </w:tc>
      </w:tr>
    </w:tbl>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ENGINE JET CAPITAL, L.P.</w:t>
      </w:r>
    </w:p>
    <w:tbl>
      <w:tblPr>
        <w:tblW w:w="4985" w:type="dxa"/>
        <w:jc w:val="left"/>
        <w:tblInd w:w="0" w:type="dxa"/>
        <w:tblLayout w:type="fixed"/>
        <w:tblCellMar>
          <w:top w:w="0" w:type="dxa"/>
          <w:left w:w="0" w:type="dxa"/>
          <w:bottom w:w="0" w:type="dxa"/>
          <w:right w:w="0" w:type="dxa"/>
        </w:tblCellMar>
      </w:tblPr>
      <w:tblGrid>
        <w:gridCol w:w="2240"/>
        <w:gridCol w:w="830"/>
        <w:gridCol w:w="800"/>
        <w:gridCol w:w="1115"/>
      </w:tblGrid>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(10,631)</w:t>
            </w:r>
          </w:p>
        </w:tc>
        <w:tc>
          <w:tcPr>
            <w:tcW w:w="800" w:type="dxa"/>
            <w:tcBorders/>
            <w:shd w:fill="CCEEFF" w:val="clear"/>
            <w:vAlign w:val="center"/>
          </w:tcPr>
          <w:p>
            <w:pPr>
              <w:pStyle w:val="TableContents"/>
              <w:bidi w:val="0"/>
              <w:spacing w:before="0" w:after="283"/>
              <w:jc w:val="center"/>
              <w:rPr/>
            </w:pPr>
            <w:r>
              <w:rPr/>
              <w:t>16.9612</w:t>
            </w:r>
          </w:p>
        </w:tc>
        <w:tc>
          <w:tcPr>
            <w:tcW w:w="1115" w:type="dxa"/>
            <w:tcBorders/>
            <w:shd w:fill="CCEEFF" w:val="clear"/>
            <w:vAlign w:val="center"/>
          </w:tcPr>
          <w:p>
            <w:pPr>
              <w:pStyle w:val="TableContents"/>
              <w:bidi w:val="0"/>
              <w:spacing w:before="0" w:after="283"/>
              <w:jc w:val="center"/>
              <w:rPr/>
            </w:pPr>
            <w:r>
              <w:rPr/>
              <w:t>09/29/2026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(14,000)</w:t>
            </w:r>
          </w:p>
        </w:tc>
        <w:tc>
          <w:tcPr>
            <w:tcW w:w="800" w:type="dxa"/>
            <w:tcBorders/>
            <w:shd w:fill="FFFFFF" w:val="clear"/>
            <w:vAlign w:val="center"/>
          </w:tcPr>
          <w:p>
            <w:pPr>
              <w:pStyle w:val="TableContents"/>
              <w:bidi w:val="0"/>
              <w:spacing w:before="0" w:after="283"/>
              <w:jc w:val="center"/>
              <w:rPr/>
            </w:pPr>
            <w:r>
              <w:rPr/>
              <w:t>16.3967</w:t>
            </w:r>
          </w:p>
        </w:tc>
        <w:tc>
          <w:tcPr>
            <w:tcW w:w="1115" w:type="dxa"/>
            <w:tcBorders/>
            <w:shd w:fill="FFFFFF" w:val="clear"/>
            <w:vAlign w:val="center"/>
          </w:tcPr>
          <w:p>
            <w:pPr>
              <w:pStyle w:val="TableContents"/>
              <w:bidi w:val="0"/>
              <w:spacing w:before="0" w:after="283"/>
              <w:jc w:val="center"/>
              <w:rPr/>
            </w:pPr>
            <w:r>
              <w:rPr/>
              <w:t>09/30/2026</w:t>
            </w:r>
          </w:p>
        </w:tc>
      </w:tr>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(12,700)</w:t>
            </w:r>
          </w:p>
        </w:tc>
        <w:tc>
          <w:tcPr>
            <w:tcW w:w="800" w:type="dxa"/>
            <w:tcBorders/>
            <w:shd w:fill="CCEEFF" w:val="clear"/>
            <w:vAlign w:val="center"/>
          </w:tcPr>
          <w:p>
            <w:pPr>
              <w:pStyle w:val="TableContents"/>
              <w:bidi w:val="0"/>
              <w:spacing w:before="0" w:after="283"/>
              <w:jc w:val="center"/>
              <w:rPr/>
            </w:pPr>
            <w:r>
              <w:rPr/>
              <w:t>16.0492</w:t>
            </w:r>
          </w:p>
        </w:tc>
        <w:tc>
          <w:tcPr>
            <w:tcW w:w="1115" w:type="dxa"/>
            <w:tcBorders/>
            <w:shd w:fill="CCEEFF" w:val="clear"/>
            <w:vAlign w:val="center"/>
          </w:tcPr>
          <w:p>
            <w:pPr>
              <w:pStyle w:val="TableContents"/>
              <w:bidi w:val="0"/>
              <w:spacing w:before="0" w:after="283"/>
              <w:jc w:val="center"/>
              <w:rPr/>
            </w:pPr>
            <w:r>
              <w:rPr/>
              <w:t>10/01/2026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(16,979)</w:t>
            </w:r>
          </w:p>
        </w:tc>
        <w:tc>
          <w:tcPr>
            <w:tcW w:w="800" w:type="dxa"/>
            <w:tcBorders/>
            <w:shd w:fill="FFFFFF" w:val="clear"/>
            <w:vAlign w:val="center"/>
          </w:tcPr>
          <w:p>
            <w:pPr>
              <w:pStyle w:val="TableContents"/>
              <w:bidi w:val="0"/>
              <w:spacing w:before="0" w:after="283"/>
              <w:jc w:val="center"/>
              <w:rPr/>
            </w:pPr>
            <w:r>
              <w:rPr/>
              <w:t>16.3961</w:t>
            </w:r>
          </w:p>
        </w:tc>
        <w:tc>
          <w:tcPr>
            <w:tcW w:w="1115" w:type="dxa"/>
            <w:tcBorders/>
            <w:shd w:fill="FFFFFF" w:val="clear"/>
            <w:vAlign w:val="center"/>
          </w:tcPr>
          <w:p>
            <w:pPr>
              <w:pStyle w:val="TableContents"/>
              <w:bidi w:val="0"/>
              <w:spacing w:before="0" w:after="283"/>
              <w:jc w:val="center"/>
              <w:rPr/>
            </w:pPr>
            <w:r>
              <w:rPr/>
              <w:t>10/02/2026</w:t>
            </w:r>
          </w:p>
        </w:tc>
      </w:tr>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(1,889)</w:t>
            </w:r>
          </w:p>
        </w:tc>
        <w:tc>
          <w:tcPr>
            <w:tcW w:w="800" w:type="dxa"/>
            <w:tcBorders/>
            <w:shd w:fill="CCEEFF" w:val="clear"/>
            <w:vAlign w:val="center"/>
          </w:tcPr>
          <w:p>
            <w:pPr>
              <w:pStyle w:val="TableContents"/>
              <w:bidi w:val="0"/>
              <w:spacing w:before="0" w:after="283"/>
              <w:jc w:val="center"/>
              <w:rPr/>
            </w:pPr>
            <w:r>
              <w:rPr/>
              <w:t>16.3302</w:t>
            </w:r>
          </w:p>
        </w:tc>
        <w:tc>
          <w:tcPr>
            <w:tcW w:w="1115" w:type="dxa"/>
            <w:tcBorders/>
            <w:shd w:fill="CCEEFF" w:val="clear"/>
            <w:vAlign w:val="center"/>
          </w:tcPr>
          <w:p>
            <w:pPr>
              <w:pStyle w:val="TableContents"/>
              <w:bidi w:val="0"/>
              <w:spacing w:before="0" w:after="283"/>
              <w:jc w:val="center"/>
              <w:rPr/>
            </w:pPr>
            <w:r>
              <w:rPr/>
              <w:t>10/05/2026</w:t>
            </w:r>
          </w:p>
        </w:tc>
      </w:tr>
      <w:tr>
        <w:trPr/>
        <w:tc>
          <w:tcPr>
            <w:tcW w:w="2240" w:type="dxa"/>
            <w:tcBorders/>
            <w:shd w:fill="FFFFFF" w:val="clear"/>
            <w:vAlign w:val="center"/>
          </w:tcPr>
          <w:p>
            <w:pPr>
              <w:pStyle w:val="TableContents"/>
              <w:bidi w:val="0"/>
              <w:spacing w:before="0" w:after="283"/>
              <w:jc w:val="left"/>
              <w:rPr/>
            </w:pPr>
            <w:r>
              <w:rPr/>
              <w:t>Sale of Common Stock</w:t>
            </w:r>
          </w:p>
        </w:tc>
        <w:tc>
          <w:tcPr>
            <w:tcW w:w="830" w:type="dxa"/>
            <w:tcBorders/>
            <w:shd w:fill="FFFFFF" w:val="clear"/>
            <w:vAlign w:val="center"/>
          </w:tcPr>
          <w:p>
            <w:pPr>
              <w:pStyle w:val="TableContents"/>
              <w:bidi w:val="0"/>
              <w:spacing w:before="0" w:after="283"/>
              <w:jc w:val="center"/>
              <w:rPr/>
            </w:pPr>
            <w:r>
              <w:rPr/>
              <w:t>(504)</w:t>
            </w:r>
          </w:p>
        </w:tc>
        <w:tc>
          <w:tcPr>
            <w:tcW w:w="800" w:type="dxa"/>
            <w:tcBorders/>
            <w:shd w:fill="FFFFFF" w:val="clear"/>
            <w:vAlign w:val="center"/>
          </w:tcPr>
          <w:p>
            <w:pPr>
              <w:pStyle w:val="TableContents"/>
              <w:bidi w:val="0"/>
              <w:spacing w:before="0" w:after="283"/>
              <w:jc w:val="center"/>
              <w:rPr/>
            </w:pPr>
            <w:r>
              <w:rPr/>
              <w:t>16.2638</w:t>
            </w:r>
          </w:p>
        </w:tc>
        <w:tc>
          <w:tcPr>
            <w:tcW w:w="1115" w:type="dxa"/>
            <w:tcBorders/>
            <w:shd w:fill="FFFFFF" w:val="clear"/>
            <w:vAlign w:val="center"/>
          </w:tcPr>
          <w:p>
            <w:pPr>
              <w:pStyle w:val="TableContents"/>
              <w:bidi w:val="0"/>
              <w:spacing w:before="0" w:after="283"/>
              <w:jc w:val="center"/>
              <w:rPr/>
            </w:pPr>
            <w:r>
              <w:rPr/>
              <w:t>10/06/2026</w:t>
            </w:r>
          </w:p>
        </w:tc>
      </w:tr>
      <w:tr>
        <w:trPr/>
        <w:tc>
          <w:tcPr>
            <w:tcW w:w="2240" w:type="dxa"/>
            <w:tcBorders/>
            <w:shd w:fill="CCEEFF" w:val="clear"/>
            <w:vAlign w:val="center"/>
          </w:tcPr>
          <w:p>
            <w:pPr>
              <w:pStyle w:val="TableContents"/>
              <w:bidi w:val="0"/>
              <w:spacing w:before="0" w:after="283"/>
              <w:jc w:val="left"/>
              <w:rPr/>
            </w:pPr>
            <w:r>
              <w:rPr/>
              <w:t>Sale of Common Stock</w:t>
            </w:r>
          </w:p>
        </w:tc>
        <w:tc>
          <w:tcPr>
            <w:tcW w:w="830" w:type="dxa"/>
            <w:tcBorders/>
            <w:shd w:fill="CCEEFF" w:val="clear"/>
            <w:vAlign w:val="center"/>
          </w:tcPr>
          <w:p>
            <w:pPr>
              <w:pStyle w:val="TableContents"/>
              <w:bidi w:val="0"/>
              <w:spacing w:before="0" w:after="283"/>
              <w:jc w:val="center"/>
              <w:rPr/>
            </w:pPr>
            <w:r>
              <w:rPr/>
              <w:t>(959)</w:t>
            </w:r>
          </w:p>
        </w:tc>
        <w:tc>
          <w:tcPr>
            <w:tcW w:w="800" w:type="dxa"/>
            <w:tcBorders/>
            <w:shd w:fill="CCEEFF" w:val="clear"/>
            <w:vAlign w:val="center"/>
          </w:tcPr>
          <w:p>
            <w:pPr>
              <w:pStyle w:val="TableContents"/>
              <w:bidi w:val="0"/>
              <w:spacing w:before="0" w:after="283"/>
              <w:jc w:val="center"/>
              <w:rPr/>
            </w:pPr>
            <w:r>
              <w:rPr/>
              <w:t>16.1779</w:t>
            </w:r>
          </w:p>
        </w:tc>
        <w:tc>
          <w:tcPr>
            <w:tcW w:w="1115" w:type="dxa"/>
            <w:tcBorders/>
            <w:shd w:fill="CCEEFF" w:val="clear"/>
            <w:vAlign w:val="center"/>
          </w:tcPr>
          <w:p>
            <w:pPr>
              <w:pStyle w:val="TableContents"/>
              <w:bidi w:val="0"/>
              <w:spacing w:before="0" w:after="283"/>
              <w:jc w:val="center"/>
              <w:rPr/>
            </w:pPr>
            <w:r>
              <w:rPr/>
              <w:t>10/07/2026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2491</Words>
  <Characters>12664</Characters>
  <CharactersWithSpaces>14932</CharactersWithSpaces>
  <Paragraphs>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